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5E0326D" w14:textId="77777777" w:rsidR="000900FB" w:rsidRDefault="000F7D12">
      <w:pPr>
        <w:tabs>
          <w:tab w:val="left" w:pos="708"/>
        </w:tabs>
        <w:snapToGrid w:val="0"/>
        <w:jc w:val="both"/>
        <w:rPr>
          <w:rFonts w:hAnsi="Times New Roman"/>
          <w:b/>
          <w:color w:val="000000"/>
        </w:rPr>
      </w:pPr>
      <w:r>
        <w:rPr>
          <w:rFonts w:hAnsi="Times New Roman"/>
          <w:b/>
          <w:color w:val="000000"/>
        </w:rPr>
        <w:t>Protocollo n. 4751 del 04/05/2026</w:t>
      </w:r>
    </w:p>
    <w:p w14:paraId="14FB58FD" w14:textId="77777777" w:rsidR="000900FB" w:rsidRDefault="000900FB">
      <w:pPr>
        <w:tabs>
          <w:tab w:val="left" w:pos="708"/>
        </w:tabs>
        <w:snapToGrid w:val="0"/>
        <w:jc w:val="both"/>
        <w:rPr>
          <w:rFonts w:hAnsi="Times New Roman"/>
          <w:b/>
          <w:color w:val="000000"/>
        </w:rPr>
      </w:pPr>
    </w:p>
    <w:p w14:paraId="0991B024" w14:textId="77777777" w:rsidR="00705893" w:rsidRDefault="003F52A2">
      <w:pPr>
        <w:tabs>
          <w:tab w:val="left" w:pos="708"/>
        </w:tabs>
        <w:snapToGrid w:val="0"/>
        <w:jc w:val="both"/>
        <w:rPr>
          <w:rFonts w:hAnsi="Times New Roman"/>
          <w:b/>
          <w:color w:val="000000"/>
        </w:rPr>
      </w:pPr>
      <w:r>
        <w:rPr>
          <w:rFonts w:hAnsi="Times New Roman"/>
          <w:b/>
          <w:color w:val="000000"/>
        </w:rPr>
        <w:t xml:space="preserve">COMUNICATO N. </w:t>
      </w:r>
      <w:r w:rsidR="000F7D12">
        <w:rPr>
          <w:rFonts w:hAnsi="Times New Roman"/>
          <w:b/>
          <w:color w:val="000000"/>
        </w:rPr>
        <w:t>26</w:t>
      </w:r>
    </w:p>
    <w:p w14:paraId="351EFA78" w14:textId="77777777" w:rsidR="00705893" w:rsidRDefault="003F52A2">
      <w:pPr>
        <w:snapToGrid w:val="0"/>
        <w:spacing w:after="120"/>
        <w:jc w:val="both"/>
        <w:rPr>
          <w:rFonts w:hAnsi="Times New Roman"/>
          <w:color w:val="000000"/>
          <w:sz w:val="18"/>
        </w:rPr>
      </w:pPr>
      <w:r>
        <w:rPr>
          <w:rFonts w:hAnsi="Times New Roman"/>
          <w:color w:val="000000"/>
          <w:sz w:val="18"/>
        </w:rPr>
        <w:t xml:space="preserve">Questo comunicato è presente in forma digitale sul Sito Internet: </w:t>
      </w:r>
      <w:hyperlink r:id="rId7" w:history="1">
        <w:r>
          <w:rPr>
            <w:rFonts w:hAnsi="Times New Roman"/>
            <w:color w:val="0000FF"/>
            <w:sz w:val="18"/>
            <w:u w:val="single"/>
          </w:rPr>
          <w:t>http://www.uiciechi.it/documentazione/circolari/main_circ.asp</w:t>
        </w:r>
      </w:hyperlink>
    </w:p>
    <w:p w14:paraId="007B9993" w14:textId="77777777" w:rsidR="001F1663" w:rsidRDefault="001F1663">
      <w:pPr>
        <w:snapToGrid w:val="0"/>
        <w:spacing w:line="360" w:lineRule="auto"/>
        <w:ind w:firstLine="426"/>
        <w:jc w:val="both"/>
        <w:rPr>
          <w:rFonts w:hAnsi="Times New Roman" w:cs="Times New Roman"/>
          <w:b/>
          <w:color w:val="000000"/>
          <w:szCs w:val="24"/>
        </w:rPr>
      </w:pPr>
    </w:p>
    <w:p w14:paraId="20BF56EC" w14:textId="77777777" w:rsidR="00D46697" w:rsidRPr="001F1663" w:rsidRDefault="00E046C6" w:rsidP="001F1663">
      <w:pPr>
        <w:snapToGrid w:val="0"/>
        <w:jc w:val="both"/>
        <w:rPr>
          <w:rFonts w:hAnsi="Times New Roman" w:cs="Times New Roman"/>
          <w:i/>
          <w:color w:val="000000"/>
          <w:szCs w:val="24"/>
        </w:rPr>
      </w:pPr>
      <w:r>
        <w:rPr>
          <w:rFonts w:hAnsi="Times New Roman" w:cs="Times New Roman"/>
          <w:b/>
          <w:color w:val="000000"/>
          <w:szCs w:val="24"/>
        </w:rPr>
        <w:t xml:space="preserve">OGGETTO: </w:t>
      </w:r>
      <w:bookmarkStart w:id="0" w:name="_Hlk228801056"/>
      <w:r w:rsidRPr="001F1663">
        <w:rPr>
          <w:rFonts w:hAnsi="Times New Roman" w:cs="Times New Roman"/>
          <w:b/>
          <w:i/>
          <w:color w:val="000000"/>
          <w:szCs w:val="24"/>
        </w:rPr>
        <w:t xml:space="preserve">Ritorno alle commissioni mediche ASL per l’accertamento dell’invalidità degli anziani non autosufficienti di età pari o superiore a 70 anni – Proroga </w:t>
      </w:r>
      <w:r w:rsidR="00C22189">
        <w:rPr>
          <w:rFonts w:hAnsi="Times New Roman" w:cs="Times New Roman"/>
          <w:b/>
          <w:i/>
          <w:color w:val="000000"/>
          <w:szCs w:val="24"/>
        </w:rPr>
        <w:t xml:space="preserve">della riforma </w:t>
      </w:r>
      <w:r w:rsidRPr="001F1663">
        <w:rPr>
          <w:rFonts w:hAnsi="Times New Roman" w:cs="Times New Roman"/>
          <w:b/>
          <w:i/>
          <w:color w:val="000000"/>
          <w:szCs w:val="24"/>
        </w:rPr>
        <w:t>al 31 dicembre 2027 – Art. 4, comma 4-quater, D.L. n. 19/2026 conv. in L. n. 50/2026 – Messaggio INPS n. 1377 del 23 aprile 2026.</w:t>
      </w:r>
    </w:p>
    <w:bookmarkEnd w:id="0"/>
    <w:p w14:paraId="67767041" w14:textId="77777777" w:rsidR="00D46697" w:rsidRDefault="00D46697">
      <w:pPr>
        <w:snapToGrid w:val="0"/>
        <w:spacing w:line="360" w:lineRule="auto"/>
        <w:jc w:val="both"/>
        <w:rPr>
          <w:rFonts w:hAnsi="Times New Roman" w:cs="Times New Roman"/>
          <w:color w:val="000000"/>
          <w:szCs w:val="24"/>
        </w:rPr>
      </w:pPr>
    </w:p>
    <w:p w14:paraId="45BD4EC2" w14:textId="77777777" w:rsidR="001F1663" w:rsidRDefault="001F1663" w:rsidP="001F1663">
      <w:pPr>
        <w:snapToGrid w:val="0"/>
        <w:ind w:firstLine="426"/>
        <w:jc w:val="both"/>
        <w:rPr>
          <w:rFonts w:hAnsi="Times New Roman" w:cs="Times New Roman"/>
          <w:color w:val="000000"/>
          <w:szCs w:val="24"/>
        </w:rPr>
      </w:pPr>
      <w:r>
        <w:rPr>
          <w:rFonts w:hAnsi="Times New Roman" w:cs="Times New Roman"/>
          <w:color w:val="000000"/>
          <w:szCs w:val="24"/>
        </w:rPr>
        <w:t>Care amiche, cari amici,</w:t>
      </w:r>
    </w:p>
    <w:p w14:paraId="0A83423F" w14:textId="77777777" w:rsidR="001F1663" w:rsidRDefault="001F1663" w:rsidP="001F1663">
      <w:pPr>
        <w:snapToGrid w:val="0"/>
        <w:ind w:firstLine="426"/>
        <w:jc w:val="both"/>
        <w:rPr>
          <w:rFonts w:hAnsi="Times New Roman" w:cs="Times New Roman"/>
          <w:color w:val="000000"/>
          <w:szCs w:val="24"/>
        </w:rPr>
      </w:pPr>
    </w:p>
    <w:p w14:paraId="68910F3A" w14:textId="77777777" w:rsidR="00D46697" w:rsidRDefault="001F1663" w:rsidP="001F1663">
      <w:pPr>
        <w:snapToGrid w:val="0"/>
        <w:ind w:firstLine="426"/>
        <w:jc w:val="both"/>
        <w:rPr>
          <w:rFonts w:hAnsi="Times New Roman" w:cs="Times New Roman"/>
          <w:color w:val="000000"/>
          <w:szCs w:val="24"/>
        </w:rPr>
      </w:pPr>
      <w:r>
        <w:rPr>
          <w:rFonts w:hAnsi="Times New Roman" w:cs="Times New Roman"/>
          <w:color w:val="000000"/>
          <w:szCs w:val="24"/>
        </w:rPr>
        <w:t>vi informo che c</w:t>
      </w:r>
      <w:r w:rsidR="00E046C6">
        <w:rPr>
          <w:rFonts w:hAnsi="Times New Roman" w:cs="Times New Roman"/>
          <w:color w:val="000000"/>
          <w:szCs w:val="24"/>
        </w:rPr>
        <w:t xml:space="preserve">on l’art. 4, comma 4-quater, del </w:t>
      </w:r>
      <w:r>
        <w:rPr>
          <w:rFonts w:hAnsi="Times New Roman" w:cs="Times New Roman"/>
          <w:color w:val="000000"/>
          <w:szCs w:val="24"/>
        </w:rPr>
        <w:t>D</w:t>
      </w:r>
      <w:r w:rsidR="00E046C6">
        <w:rPr>
          <w:rFonts w:hAnsi="Times New Roman" w:cs="Times New Roman"/>
          <w:color w:val="000000"/>
          <w:szCs w:val="24"/>
        </w:rPr>
        <w:t>ecreto-</w:t>
      </w:r>
      <w:r>
        <w:rPr>
          <w:rFonts w:hAnsi="Times New Roman" w:cs="Times New Roman"/>
          <w:color w:val="000000"/>
          <w:szCs w:val="24"/>
        </w:rPr>
        <w:t>L</w:t>
      </w:r>
      <w:r w:rsidR="00E046C6">
        <w:rPr>
          <w:rFonts w:hAnsi="Times New Roman" w:cs="Times New Roman"/>
          <w:color w:val="000000"/>
          <w:szCs w:val="24"/>
        </w:rPr>
        <w:t xml:space="preserve">egge 19 febbraio 2026, n. 19, convertito con modificazioni dalla </w:t>
      </w:r>
      <w:r>
        <w:rPr>
          <w:rFonts w:hAnsi="Times New Roman" w:cs="Times New Roman"/>
          <w:color w:val="000000"/>
          <w:szCs w:val="24"/>
        </w:rPr>
        <w:t>L</w:t>
      </w:r>
      <w:r w:rsidR="00E046C6">
        <w:rPr>
          <w:rFonts w:hAnsi="Times New Roman" w:cs="Times New Roman"/>
          <w:color w:val="000000"/>
          <w:szCs w:val="24"/>
        </w:rPr>
        <w:t xml:space="preserve">egge 20 aprile 2026, n. 50, è stato novellato l’art. 28, comma 7, del </w:t>
      </w:r>
      <w:r>
        <w:rPr>
          <w:rFonts w:hAnsi="Times New Roman" w:cs="Times New Roman"/>
          <w:color w:val="000000"/>
          <w:szCs w:val="24"/>
        </w:rPr>
        <w:t>D</w:t>
      </w:r>
      <w:r w:rsidR="00E046C6">
        <w:rPr>
          <w:rFonts w:hAnsi="Times New Roman" w:cs="Times New Roman"/>
          <w:color w:val="000000"/>
          <w:szCs w:val="24"/>
        </w:rPr>
        <w:t xml:space="preserve">ecreto </w:t>
      </w:r>
      <w:r>
        <w:rPr>
          <w:rFonts w:hAnsi="Times New Roman" w:cs="Times New Roman"/>
          <w:color w:val="000000"/>
          <w:szCs w:val="24"/>
        </w:rPr>
        <w:t>L</w:t>
      </w:r>
      <w:r w:rsidR="00E046C6">
        <w:rPr>
          <w:rFonts w:hAnsi="Times New Roman" w:cs="Times New Roman"/>
          <w:color w:val="000000"/>
          <w:szCs w:val="24"/>
        </w:rPr>
        <w:t>egislativo 15 marzo 2024, n. 29 (</w:t>
      </w:r>
      <w:r w:rsidR="00E046C6">
        <w:rPr>
          <w:rFonts w:hAnsi="Times New Roman" w:cs="Times New Roman"/>
          <w:i/>
          <w:color w:val="000000"/>
          <w:szCs w:val="24"/>
        </w:rPr>
        <w:t>Disposizioni in materia di politiche in favore delle persone anziane</w:t>
      </w:r>
      <w:r w:rsidR="00E046C6">
        <w:rPr>
          <w:rFonts w:hAnsi="Times New Roman" w:cs="Times New Roman"/>
          <w:color w:val="000000"/>
          <w:szCs w:val="24"/>
        </w:rPr>
        <w:t xml:space="preserve">), sostituendo il termine </w:t>
      </w:r>
      <w:r>
        <w:rPr>
          <w:rFonts w:hAnsi="Times New Roman" w:cs="Times New Roman"/>
          <w:color w:val="000000"/>
          <w:szCs w:val="24"/>
        </w:rPr>
        <w:t>“</w:t>
      </w:r>
      <w:r w:rsidR="00E046C6" w:rsidRPr="001F1663">
        <w:rPr>
          <w:rFonts w:hAnsi="Times New Roman" w:cs="Times New Roman"/>
          <w:i/>
          <w:color w:val="000000"/>
          <w:szCs w:val="24"/>
        </w:rPr>
        <w:t>entro il 31 dicembre 2025</w:t>
      </w:r>
      <w:r>
        <w:rPr>
          <w:rFonts w:hAnsi="Times New Roman" w:cs="Times New Roman"/>
          <w:color w:val="000000"/>
          <w:szCs w:val="24"/>
        </w:rPr>
        <w:t>”</w:t>
      </w:r>
      <w:r w:rsidR="00E046C6">
        <w:rPr>
          <w:rFonts w:hAnsi="Times New Roman" w:cs="Times New Roman"/>
          <w:color w:val="000000"/>
          <w:szCs w:val="24"/>
        </w:rPr>
        <w:t xml:space="preserve"> con </w:t>
      </w:r>
      <w:r>
        <w:rPr>
          <w:rFonts w:hAnsi="Times New Roman" w:cs="Times New Roman"/>
          <w:color w:val="000000"/>
          <w:szCs w:val="24"/>
        </w:rPr>
        <w:t>“</w:t>
      </w:r>
      <w:r w:rsidR="00E046C6" w:rsidRPr="001F1663">
        <w:rPr>
          <w:rFonts w:hAnsi="Times New Roman" w:cs="Times New Roman"/>
          <w:i/>
          <w:color w:val="000000"/>
          <w:szCs w:val="24"/>
        </w:rPr>
        <w:t>e</w:t>
      </w:r>
      <w:r w:rsidRPr="001F1663">
        <w:rPr>
          <w:rFonts w:hAnsi="Times New Roman" w:cs="Times New Roman"/>
          <w:i/>
          <w:color w:val="000000"/>
          <w:szCs w:val="24"/>
        </w:rPr>
        <w:t xml:space="preserve"> </w:t>
      </w:r>
      <w:r w:rsidR="00E046C6" w:rsidRPr="001F1663">
        <w:rPr>
          <w:rFonts w:hAnsi="Times New Roman" w:cs="Times New Roman"/>
          <w:i/>
          <w:color w:val="000000"/>
          <w:szCs w:val="24"/>
        </w:rPr>
        <w:t>non oltre il 31 dicembre 2027, anche nei territori interessati dalla fase sperimentale della riforma di cui al decreto legislativo 3 maggio 2024, n. 62</w:t>
      </w:r>
      <w:r>
        <w:rPr>
          <w:rFonts w:hAnsi="Times New Roman" w:cs="Times New Roman"/>
          <w:color w:val="000000"/>
          <w:szCs w:val="24"/>
        </w:rPr>
        <w:t>”</w:t>
      </w:r>
      <w:r w:rsidR="00E046C6">
        <w:rPr>
          <w:rFonts w:hAnsi="Times New Roman" w:cs="Times New Roman"/>
          <w:color w:val="000000"/>
          <w:szCs w:val="24"/>
        </w:rPr>
        <w:t xml:space="preserve">. La disposizione è stata adottata </w:t>
      </w:r>
      <w:r w:rsidR="00E046C6" w:rsidRPr="001F1663">
        <w:rPr>
          <w:rFonts w:hAnsi="Times New Roman" w:cs="Times New Roman"/>
          <w:color w:val="000000"/>
          <w:szCs w:val="24"/>
        </w:rPr>
        <w:t xml:space="preserve">in attesa dell’entrata a regime della nuova procedura di valutazione multidimensionale unificata </w:t>
      </w:r>
      <w:r w:rsidR="00E046C6">
        <w:rPr>
          <w:rFonts w:hAnsi="Times New Roman" w:cs="Times New Roman"/>
          <w:color w:val="000000"/>
          <w:szCs w:val="24"/>
        </w:rPr>
        <w:t xml:space="preserve">prevista dal </w:t>
      </w:r>
      <w:r>
        <w:rPr>
          <w:rFonts w:hAnsi="Times New Roman" w:cs="Times New Roman"/>
          <w:color w:val="000000"/>
          <w:szCs w:val="24"/>
        </w:rPr>
        <w:t>Decreto Legislativo</w:t>
      </w:r>
      <w:r w:rsidR="00E046C6">
        <w:rPr>
          <w:rFonts w:hAnsi="Times New Roman" w:cs="Times New Roman"/>
          <w:color w:val="000000"/>
          <w:szCs w:val="24"/>
        </w:rPr>
        <w:t xml:space="preserve"> n. 29/2024 per le persone anziane ultrasettantenni, la quale non entrerà in vigore in via sperimentale prima del 1° gennaio 2027 e su tutto il territorio nazionale prima del 1° gennaio 2028.</w:t>
      </w:r>
    </w:p>
    <w:p w14:paraId="20020195" w14:textId="77777777" w:rsidR="00D46697" w:rsidRDefault="00E046C6" w:rsidP="001F1663">
      <w:pPr>
        <w:snapToGrid w:val="0"/>
        <w:ind w:firstLine="426"/>
        <w:jc w:val="both"/>
        <w:rPr>
          <w:rFonts w:hAnsi="Times New Roman" w:cs="Times New Roman"/>
          <w:color w:val="000000"/>
          <w:szCs w:val="24"/>
        </w:rPr>
      </w:pPr>
      <w:r>
        <w:rPr>
          <w:rFonts w:hAnsi="Times New Roman" w:cs="Times New Roman"/>
          <w:color w:val="000000"/>
          <w:szCs w:val="24"/>
        </w:rPr>
        <w:t xml:space="preserve">Ciò significa che, per gli anziani </w:t>
      </w:r>
      <w:r w:rsidR="00C22189" w:rsidRPr="00C22189">
        <w:rPr>
          <w:rFonts w:hAnsi="Times New Roman" w:cs="Times New Roman"/>
          <w:color w:val="000000"/>
          <w:szCs w:val="24"/>
        </w:rPr>
        <w:t>di età pari o superiore a 70 anni</w:t>
      </w:r>
      <w:r w:rsidR="00C22189">
        <w:rPr>
          <w:rFonts w:hAnsi="Times New Roman" w:cs="Times New Roman"/>
          <w:color w:val="000000"/>
          <w:szCs w:val="24"/>
        </w:rPr>
        <w:t xml:space="preserve">, </w:t>
      </w:r>
      <w:r w:rsidR="001F1663" w:rsidRPr="001F1663">
        <w:rPr>
          <w:rFonts w:hAnsi="Times New Roman" w:cs="Times New Roman"/>
          <w:b/>
          <w:color w:val="000000"/>
          <w:szCs w:val="24"/>
          <w:u w:val="single"/>
        </w:rPr>
        <w:t>non autosufficienti</w:t>
      </w:r>
      <w:r w:rsidR="001F1663">
        <w:rPr>
          <w:rFonts w:hAnsi="Times New Roman" w:cs="Times New Roman"/>
          <w:color w:val="000000"/>
          <w:szCs w:val="24"/>
        </w:rPr>
        <w:t xml:space="preserve">, </w:t>
      </w:r>
      <w:r>
        <w:rPr>
          <w:rFonts w:hAnsi="Times New Roman" w:cs="Times New Roman"/>
          <w:color w:val="000000"/>
          <w:szCs w:val="24"/>
        </w:rPr>
        <w:t>si mantiene il percorso tradizionale:</w:t>
      </w:r>
    </w:p>
    <w:p w14:paraId="08037EFC" w14:textId="77777777" w:rsidR="001F1663" w:rsidRPr="001F1663" w:rsidRDefault="00E046C6" w:rsidP="001F1663">
      <w:pPr>
        <w:pStyle w:val="Paragrafoelenco"/>
        <w:numPr>
          <w:ilvl w:val="0"/>
          <w:numId w:val="4"/>
        </w:numPr>
        <w:snapToGrid w:val="0"/>
        <w:jc w:val="both"/>
        <w:rPr>
          <w:rFonts w:hAnsi="Times New Roman" w:cs="Times New Roman"/>
          <w:color w:val="000000"/>
          <w:szCs w:val="24"/>
        </w:rPr>
      </w:pPr>
      <w:r w:rsidRPr="001F1663">
        <w:rPr>
          <w:rFonts w:hAnsi="Times New Roman" w:cs="Times New Roman"/>
          <w:b/>
          <w:color w:val="000000"/>
          <w:szCs w:val="24"/>
        </w:rPr>
        <w:t>certificato medico introduttivo</w:t>
      </w:r>
      <w:r w:rsidRPr="001F1663">
        <w:rPr>
          <w:rFonts w:hAnsi="Times New Roman" w:cs="Times New Roman"/>
          <w:color w:val="000000"/>
          <w:szCs w:val="24"/>
        </w:rPr>
        <w:t xml:space="preserve"> redatto dal medico curante;</w:t>
      </w:r>
    </w:p>
    <w:p w14:paraId="092B3276" w14:textId="77777777" w:rsidR="001F1663" w:rsidRPr="001F1663" w:rsidRDefault="00E046C6" w:rsidP="001F1663">
      <w:pPr>
        <w:pStyle w:val="Paragrafoelenco"/>
        <w:numPr>
          <w:ilvl w:val="0"/>
          <w:numId w:val="4"/>
        </w:numPr>
        <w:snapToGrid w:val="0"/>
        <w:jc w:val="both"/>
        <w:rPr>
          <w:rFonts w:hAnsi="Times New Roman" w:cs="Times New Roman"/>
          <w:color w:val="000000"/>
          <w:szCs w:val="24"/>
        </w:rPr>
      </w:pPr>
      <w:r w:rsidRPr="001F1663">
        <w:rPr>
          <w:rFonts w:hAnsi="Times New Roman" w:cs="Times New Roman"/>
          <w:b/>
          <w:color w:val="000000"/>
          <w:szCs w:val="24"/>
        </w:rPr>
        <w:t>presentazione della domanda amministrativa all'INPS</w:t>
      </w:r>
      <w:r w:rsidRPr="001F1663">
        <w:rPr>
          <w:rFonts w:hAnsi="Times New Roman" w:cs="Times New Roman"/>
          <w:color w:val="000000"/>
          <w:szCs w:val="24"/>
        </w:rPr>
        <w:t xml:space="preserve"> da parte dell’interessato o tramit</w:t>
      </w:r>
      <w:r w:rsidR="001F1663" w:rsidRPr="001F1663">
        <w:rPr>
          <w:rFonts w:hAnsi="Times New Roman" w:cs="Times New Roman"/>
          <w:color w:val="000000"/>
          <w:szCs w:val="24"/>
        </w:rPr>
        <w:t xml:space="preserve">e </w:t>
      </w:r>
      <w:r w:rsidRPr="001F1663">
        <w:rPr>
          <w:rFonts w:hAnsi="Times New Roman" w:cs="Times New Roman"/>
          <w:color w:val="000000"/>
          <w:szCs w:val="24"/>
        </w:rPr>
        <w:t>intermediario autorizzato</w:t>
      </w:r>
      <w:r w:rsidR="00C22189">
        <w:rPr>
          <w:rFonts w:hAnsi="Times New Roman" w:cs="Times New Roman"/>
          <w:color w:val="000000"/>
          <w:szCs w:val="24"/>
        </w:rPr>
        <w:t xml:space="preserve"> (Patronato, Associazione di categoria)</w:t>
      </w:r>
      <w:r w:rsidRPr="001F1663">
        <w:rPr>
          <w:rFonts w:hAnsi="Times New Roman" w:cs="Times New Roman"/>
          <w:color w:val="000000"/>
          <w:szCs w:val="24"/>
        </w:rPr>
        <w:t>;</w:t>
      </w:r>
    </w:p>
    <w:p w14:paraId="593B9316" w14:textId="77777777" w:rsidR="00D46697" w:rsidRPr="001F1663" w:rsidRDefault="00E046C6" w:rsidP="001F1663">
      <w:pPr>
        <w:pStyle w:val="Paragrafoelenco"/>
        <w:numPr>
          <w:ilvl w:val="0"/>
          <w:numId w:val="4"/>
        </w:numPr>
        <w:snapToGrid w:val="0"/>
        <w:jc w:val="both"/>
        <w:rPr>
          <w:rFonts w:hAnsi="Times New Roman" w:cs="Times New Roman"/>
          <w:color w:val="000000"/>
          <w:szCs w:val="24"/>
        </w:rPr>
      </w:pPr>
      <w:r w:rsidRPr="001F1663">
        <w:rPr>
          <w:rFonts w:hAnsi="Times New Roman" w:cs="Times New Roman"/>
          <w:b/>
          <w:color w:val="000000"/>
          <w:szCs w:val="24"/>
        </w:rPr>
        <w:t>accertamento sanitario da parte delle commissioni mediche delle ASL</w:t>
      </w:r>
      <w:r w:rsidRPr="001F1663">
        <w:rPr>
          <w:rFonts w:hAnsi="Times New Roman" w:cs="Times New Roman"/>
          <w:color w:val="000000"/>
          <w:szCs w:val="24"/>
        </w:rPr>
        <w:t>, con la partecipazione di un medico INPS, secondo le modalità previgenti alla riforma della disabilità</w:t>
      </w:r>
      <w:r w:rsidR="00C22189">
        <w:rPr>
          <w:rFonts w:hAnsi="Times New Roman" w:cs="Times New Roman"/>
          <w:color w:val="000000"/>
          <w:szCs w:val="24"/>
        </w:rPr>
        <w:t xml:space="preserve"> (INPS, circolare n. 42 del 17 febbraio 2025)</w:t>
      </w:r>
      <w:r w:rsidRPr="001F1663">
        <w:rPr>
          <w:rFonts w:hAnsi="Times New Roman" w:cs="Times New Roman"/>
          <w:color w:val="000000"/>
          <w:szCs w:val="24"/>
        </w:rPr>
        <w:t>.</w:t>
      </w:r>
    </w:p>
    <w:p w14:paraId="5D869200" w14:textId="77777777" w:rsidR="00304559" w:rsidRPr="00304559" w:rsidRDefault="001F1663" w:rsidP="00304559">
      <w:pPr>
        <w:snapToGrid w:val="0"/>
        <w:ind w:firstLine="426"/>
        <w:jc w:val="both"/>
        <w:rPr>
          <w:rFonts w:hAnsi="Times New Roman" w:cs="Times New Roman"/>
          <w:color w:val="000000"/>
          <w:szCs w:val="24"/>
        </w:rPr>
      </w:pPr>
      <w:r>
        <w:rPr>
          <w:rFonts w:hAnsi="Times New Roman" w:cs="Times New Roman"/>
          <w:color w:val="000000"/>
          <w:szCs w:val="24"/>
        </w:rPr>
        <w:t>Come è noto, l</w:t>
      </w:r>
      <w:r w:rsidR="00E046C6">
        <w:rPr>
          <w:rFonts w:hAnsi="Times New Roman" w:cs="Times New Roman"/>
          <w:color w:val="000000"/>
          <w:szCs w:val="24"/>
        </w:rPr>
        <w:t xml:space="preserve">a sperimentazione della riforma della disabilità di cui al </w:t>
      </w:r>
      <w:r>
        <w:rPr>
          <w:rFonts w:hAnsi="Times New Roman" w:cs="Times New Roman"/>
          <w:color w:val="000000"/>
          <w:szCs w:val="24"/>
        </w:rPr>
        <w:t>Decreto Legislativo</w:t>
      </w:r>
      <w:r w:rsidR="00E046C6">
        <w:rPr>
          <w:rFonts w:hAnsi="Times New Roman" w:cs="Times New Roman"/>
          <w:color w:val="000000"/>
          <w:szCs w:val="24"/>
        </w:rPr>
        <w:t xml:space="preserve"> n. 62/2024, avviata in più province a partire dal 1° gennaio 2025, aveva attribuito la funzione di accertamento alle commissioni mediche INPS, escludendo di fatto le persone anziane over 70 dal canale ASL previgente.</w:t>
      </w:r>
      <w:r w:rsidR="00C22189">
        <w:rPr>
          <w:rFonts w:hAnsi="Times New Roman" w:cs="Times New Roman"/>
          <w:color w:val="000000"/>
          <w:szCs w:val="24"/>
        </w:rPr>
        <w:t xml:space="preserve"> C</w:t>
      </w:r>
      <w:r w:rsidR="00304559" w:rsidRPr="00304559">
        <w:rPr>
          <w:rFonts w:hAnsi="Times New Roman" w:cs="Times New Roman"/>
          <w:color w:val="000000"/>
          <w:szCs w:val="24"/>
        </w:rPr>
        <w:t xml:space="preserve">on il </w:t>
      </w:r>
      <w:r w:rsidR="00304559">
        <w:rPr>
          <w:rFonts w:hAnsi="Times New Roman" w:cs="Times New Roman"/>
          <w:color w:val="000000"/>
          <w:szCs w:val="24"/>
        </w:rPr>
        <w:t xml:space="preserve">D.lgs. </w:t>
      </w:r>
      <w:r w:rsidR="00304559" w:rsidRPr="00304559">
        <w:rPr>
          <w:rFonts w:hAnsi="Times New Roman" w:cs="Times New Roman"/>
          <w:color w:val="000000"/>
          <w:szCs w:val="24"/>
        </w:rPr>
        <w:t>n. 29/2024 del 18 marzo, l’unico finora attuativo della Legge Delega Anziani n. 33/2023 “</w:t>
      </w:r>
      <w:r w:rsidR="00304559" w:rsidRPr="00304559">
        <w:rPr>
          <w:rFonts w:hAnsi="Times New Roman" w:cs="Times New Roman"/>
          <w:i/>
          <w:color w:val="000000"/>
          <w:szCs w:val="24"/>
        </w:rPr>
        <w:t>Deleghe al Governo in materia di politiche in favore delle persone anziane</w:t>
      </w:r>
      <w:r w:rsidR="00304559" w:rsidRPr="00304559">
        <w:rPr>
          <w:rFonts w:hAnsi="Times New Roman" w:cs="Times New Roman"/>
          <w:color w:val="000000"/>
          <w:szCs w:val="24"/>
        </w:rPr>
        <w:t xml:space="preserve">”, </w:t>
      </w:r>
      <w:r w:rsidR="00304559">
        <w:rPr>
          <w:rFonts w:hAnsi="Times New Roman" w:cs="Times New Roman"/>
          <w:color w:val="000000"/>
          <w:szCs w:val="24"/>
        </w:rPr>
        <w:t>venivano rinviati</w:t>
      </w:r>
      <w:r w:rsidR="00304559" w:rsidRPr="00304559">
        <w:rPr>
          <w:rFonts w:hAnsi="Times New Roman" w:cs="Times New Roman"/>
          <w:color w:val="000000"/>
          <w:szCs w:val="24"/>
        </w:rPr>
        <w:t xml:space="preserve"> </w:t>
      </w:r>
      <w:r w:rsidR="00304559">
        <w:rPr>
          <w:rFonts w:hAnsi="Times New Roman" w:cs="Times New Roman"/>
          <w:color w:val="000000"/>
          <w:szCs w:val="24"/>
        </w:rPr>
        <w:t xml:space="preserve">di </w:t>
      </w:r>
      <w:r w:rsidR="00304559" w:rsidRPr="00304559">
        <w:rPr>
          <w:rFonts w:hAnsi="Times New Roman" w:cs="Times New Roman"/>
          <w:color w:val="000000"/>
          <w:szCs w:val="24"/>
        </w:rPr>
        <w:t>almeno un altro anno tutti gli altri decreti attuativi della riforma, di fatto stabilendo solo il funzionamento della Prestazione Universale</w:t>
      </w:r>
      <w:r w:rsidR="00304559">
        <w:rPr>
          <w:rFonts w:hAnsi="Times New Roman" w:cs="Times New Roman"/>
          <w:color w:val="000000"/>
          <w:szCs w:val="24"/>
        </w:rPr>
        <w:t>. Il</w:t>
      </w:r>
      <w:r w:rsidR="00304559" w:rsidRPr="00304559">
        <w:rPr>
          <w:rFonts w:hAnsi="Times New Roman" w:cs="Times New Roman"/>
          <w:color w:val="000000"/>
          <w:szCs w:val="24"/>
        </w:rPr>
        <w:t xml:space="preserve"> </w:t>
      </w:r>
      <w:r w:rsidR="00304559">
        <w:rPr>
          <w:rFonts w:hAnsi="Times New Roman" w:cs="Times New Roman"/>
          <w:color w:val="000000"/>
          <w:szCs w:val="24"/>
        </w:rPr>
        <w:t xml:space="preserve">nuovo </w:t>
      </w:r>
      <w:r w:rsidR="00C22189" w:rsidRPr="00C22189">
        <w:rPr>
          <w:rFonts w:hAnsi="Times New Roman" w:cs="Times New Roman"/>
          <w:color w:val="000000"/>
          <w:szCs w:val="24"/>
        </w:rPr>
        <w:t>Decreto-Legge n. 19/2026</w:t>
      </w:r>
      <w:r w:rsidR="00C22189">
        <w:rPr>
          <w:rFonts w:hAnsi="Times New Roman" w:cs="Times New Roman"/>
          <w:color w:val="000000"/>
          <w:szCs w:val="24"/>
        </w:rPr>
        <w:t xml:space="preserve"> </w:t>
      </w:r>
      <w:r w:rsidR="00304559">
        <w:rPr>
          <w:rFonts w:hAnsi="Times New Roman" w:cs="Times New Roman"/>
          <w:color w:val="000000"/>
          <w:szCs w:val="24"/>
        </w:rPr>
        <w:t>posterga</w:t>
      </w:r>
      <w:r w:rsidR="00304559" w:rsidRPr="00304559">
        <w:rPr>
          <w:rFonts w:hAnsi="Times New Roman" w:cs="Times New Roman"/>
          <w:color w:val="000000"/>
          <w:szCs w:val="24"/>
        </w:rPr>
        <w:t xml:space="preserve"> </w:t>
      </w:r>
      <w:r w:rsidR="00C22189">
        <w:rPr>
          <w:rFonts w:hAnsi="Times New Roman" w:cs="Times New Roman"/>
          <w:color w:val="000000"/>
          <w:szCs w:val="24"/>
        </w:rPr>
        <w:t xml:space="preserve">ulteriormente </w:t>
      </w:r>
      <w:r w:rsidR="00304559" w:rsidRPr="00304559">
        <w:rPr>
          <w:rFonts w:hAnsi="Times New Roman" w:cs="Times New Roman"/>
          <w:color w:val="000000"/>
          <w:szCs w:val="24"/>
        </w:rPr>
        <w:t>l’emanazione di tutti quei decreti che servono a stabilire:</w:t>
      </w:r>
    </w:p>
    <w:p w14:paraId="0E9BF021" w14:textId="77777777" w:rsidR="00304559" w:rsidRDefault="00304559" w:rsidP="00304559">
      <w:pPr>
        <w:pStyle w:val="Paragrafoelenco"/>
        <w:numPr>
          <w:ilvl w:val="0"/>
          <w:numId w:val="5"/>
        </w:numPr>
        <w:snapToGrid w:val="0"/>
        <w:jc w:val="both"/>
        <w:rPr>
          <w:rFonts w:hAnsi="Times New Roman" w:cs="Times New Roman"/>
          <w:color w:val="000000"/>
          <w:szCs w:val="24"/>
        </w:rPr>
      </w:pPr>
      <w:r w:rsidRPr="00304559">
        <w:rPr>
          <w:rFonts w:hAnsi="Times New Roman" w:cs="Times New Roman"/>
          <w:color w:val="000000"/>
          <w:szCs w:val="24"/>
        </w:rPr>
        <w:t>i criteri di accesso ai Punti Unici di Accesso (PUA) nelle Case della Comunità</w:t>
      </w:r>
      <w:r w:rsidR="00C82A7D">
        <w:rPr>
          <w:rFonts w:hAnsi="Times New Roman" w:cs="Times New Roman"/>
          <w:color w:val="000000"/>
          <w:szCs w:val="24"/>
        </w:rPr>
        <w:t>;</w:t>
      </w:r>
    </w:p>
    <w:p w14:paraId="0F57EB92" w14:textId="77777777" w:rsidR="00304559" w:rsidRDefault="00304559" w:rsidP="00304559">
      <w:pPr>
        <w:pStyle w:val="Paragrafoelenco"/>
        <w:numPr>
          <w:ilvl w:val="0"/>
          <w:numId w:val="5"/>
        </w:numPr>
        <w:snapToGrid w:val="0"/>
        <w:jc w:val="both"/>
        <w:rPr>
          <w:rFonts w:hAnsi="Times New Roman" w:cs="Times New Roman"/>
          <w:color w:val="000000"/>
          <w:szCs w:val="24"/>
        </w:rPr>
      </w:pPr>
      <w:r w:rsidRPr="00304559">
        <w:rPr>
          <w:rFonts w:hAnsi="Times New Roman" w:cs="Times New Roman"/>
          <w:color w:val="000000"/>
          <w:szCs w:val="24"/>
        </w:rPr>
        <w:t>la composizione, le modalità di funzionamento e i criteri della nuova Unità di Valutazione Multidimensionale (UVM), che dovrebbe sostituire l’attuale Unità Valutativa Multidimensionale Distrettuale</w:t>
      </w:r>
      <w:r w:rsidR="00C82A7D">
        <w:rPr>
          <w:rFonts w:hAnsi="Times New Roman" w:cs="Times New Roman"/>
          <w:color w:val="000000"/>
          <w:szCs w:val="24"/>
        </w:rPr>
        <w:t>;</w:t>
      </w:r>
    </w:p>
    <w:p w14:paraId="3AF501C0" w14:textId="77777777" w:rsidR="00C82A7D" w:rsidRDefault="00304559" w:rsidP="00C82A7D">
      <w:pPr>
        <w:pStyle w:val="Paragrafoelenco"/>
        <w:numPr>
          <w:ilvl w:val="0"/>
          <w:numId w:val="5"/>
        </w:numPr>
        <w:snapToGrid w:val="0"/>
        <w:jc w:val="both"/>
        <w:rPr>
          <w:rFonts w:hAnsi="Times New Roman" w:cs="Times New Roman"/>
          <w:color w:val="000000"/>
          <w:szCs w:val="24"/>
        </w:rPr>
      </w:pPr>
      <w:r w:rsidRPr="00304559">
        <w:rPr>
          <w:rFonts w:hAnsi="Times New Roman" w:cs="Times New Roman"/>
          <w:color w:val="000000"/>
          <w:szCs w:val="24"/>
        </w:rPr>
        <w:t>lo strumento unico nazionale per l’accertamento della non autosufficienza e la definizione del Piano Assistenziale Individualizzato (PAI)</w:t>
      </w:r>
      <w:r w:rsidR="00C82A7D">
        <w:rPr>
          <w:rFonts w:hAnsi="Times New Roman" w:cs="Times New Roman"/>
          <w:color w:val="000000"/>
          <w:szCs w:val="24"/>
        </w:rPr>
        <w:t>;</w:t>
      </w:r>
    </w:p>
    <w:p w14:paraId="6451080D" w14:textId="77777777" w:rsidR="00304559" w:rsidRPr="00C82A7D" w:rsidRDefault="00304559" w:rsidP="00C82A7D">
      <w:pPr>
        <w:pStyle w:val="Paragrafoelenco"/>
        <w:numPr>
          <w:ilvl w:val="0"/>
          <w:numId w:val="5"/>
        </w:numPr>
        <w:snapToGrid w:val="0"/>
        <w:jc w:val="both"/>
        <w:rPr>
          <w:rFonts w:hAnsi="Times New Roman" w:cs="Times New Roman"/>
          <w:color w:val="000000"/>
          <w:szCs w:val="24"/>
        </w:rPr>
      </w:pPr>
      <w:r w:rsidRPr="00C82A7D">
        <w:rPr>
          <w:rFonts w:hAnsi="Times New Roman" w:cs="Times New Roman"/>
          <w:color w:val="000000"/>
          <w:szCs w:val="24"/>
        </w:rPr>
        <w:t>la sperimentazione nazionale del nuovo sistema</w:t>
      </w:r>
      <w:r w:rsidR="00C82A7D">
        <w:rPr>
          <w:rFonts w:hAnsi="Times New Roman" w:cs="Times New Roman"/>
          <w:color w:val="000000"/>
          <w:szCs w:val="24"/>
        </w:rPr>
        <w:t>.</w:t>
      </w:r>
    </w:p>
    <w:p w14:paraId="13AECABE" w14:textId="77777777" w:rsidR="00304559" w:rsidRDefault="00C22189" w:rsidP="00304559">
      <w:pPr>
        <w:snapToGrid w:val="0"/>
        <w:ind w:firstLine="426"/>
        <w:jc w:val="both"/>
        <w:rPr>
          <w:rFonts w:hAnsi="Times New Roman" w:cs="Times New Roman"/>
          <w:color w:val="000000"/>
          <w:szCs w:val="24"/>
        </w:rPr>
      </w:pPr>
      <w:r>
        <w:rPr>
          <w:rFonts w:hAnsi="Times New Roman" w:cs="Times New Roman"/>
          <w:color w:val="000000"/>
          <w:szCs w:val="24"/>
        </w:rPr>
        <w:lastRenderedPageBreak/>
        <w:t>L</w:t>
      </w:r>
      <w:r w:rsidR="00304559" w:rsidRPr="00304559">
        <w:rPr>
          <w:rFonts w:hAnsi="Times New Roman" w:cs="Times New Roman"/>
          <w:color w:val="000000"/>
          <w:szCs w:val="24"/>
        </w:rPr>
        <w:t xml:space="preserve">e nuove scadenze sono </w:t>
      </w:r>
      <w:r w:rsidR="00304559">
        <w:rPr>
          <w:rFonts w:hAnsi="Times New Roman" w:cs="Times New Roman"/>
          <w:color w:val="000000"/>
          <w:szCs w:val="24"/>
        </w:rPr>
        <w:t xml:space="preserve">così aggiornate in </w:t>
      </w:r>
      <w:r w:rsidR="00304559" w:rsidRPr="00304559">
        <w:rPr>
          <w:rFonts w:hAnsi="Times New Roman" w:cs="Times New Roman"/>
          <w:color w:val="000000"/>
          <w:szCs w:val="24"/>
        </w:rPr>
        <w:t>30 mesi di tempo (non più 18) per emanare i decreti attuativi, passando dalla scadenza del settembre 2025 a settembre 2026. La sperimentazione ovviamente non parte più nel 2026, ma dal 1° gennaio 2027 e l’entrata a regime della riforma a livello nazionale non sarà prima del 1° gennaio 2028.</w:t>
      </w:r>
    </w:p>
    <w:p w14:paraId="33A4A3B4" w14:textId="77777777" w:rsidR="001F1663" w:rsidRDefault="00304559" w:rsidP="001F1663">
      <w:pPr>
        <w:snapToGrid w:val="0"/>
        <w:ind w:firstLine="426"/>
        <w:jc w:val="both"/>
        <w:rPr>
          <w:rFonts w:hAnsi="Times New Roman" w:cs="Times New Roman"/>
          <w:color w:val="000000"/>
          <w:szCs w:val="24"/>
        </w:rPr>
      </w:pPr>
      <w:r>
        <w:rPr>
          <w:rFonts w:hAnsi="Times New Roman" w:cs="Times New Roman"/>
          <w:color w:val="000000"/>
          <w:szCs w:val="24"/>
        </w:rPr>
        <w:t>Ciò detto in punto di tempistiche, si precisa che, a oggi, l</w:t>
      </w:r>
      <w:r w:rsidR="00E046C6">
        <w:rPr>
          <w:rFonts w:hAnsi="Times New Roman" w:cs="Times New Roman"/>
          <w:color w:val="000000"/>
          <w:szCs w:val="24"/>
        </w:rPr>
        <w:t xml:space="preserve">a novella normativa </w:t>
      </w:r>
      <w:r w:rsidR="00E046C6">
        <w:rPr>
          <w:rFonts w:hAnsi="Times New Roman" w:cs="Times New Roman"/>
          <w:b/>
          <w:color w:val="000000"/>
          <w:szCs w:val="24"/>
        </w:rPr>
        <w:t xml:space="preserve">esclude </w:t>
      </w:r>
      <w:r>
        <w:rPr>
          <w:rFonts w:hAnsi="Times New Roman" w:cs="Times New Roman"/>
          <w:b/>
          <w:color w:val="000000"/>
          <w:szCs w:val="24"/>
        </w:rPr>
        <w:t xml:space="preserve">sostanzialmente </w:t>
      </w:r>
      <w:r w:rsidR="00E046C6">
        <w:rPr>
          <w:rFonts w:hAnsi="Times New Roman" w:cs="Times New Roman"/>
          <w:b/>
          <w:color w:val="000000"/>
          <w:szCs w:val="24"/>
        </w:rPr>
        <w:t>gli anziani ultrasettantenni non autosufficienti dalla sperimentazione della riforma della disabilità</w:t>
      </w:r>
      <w:r w:rsidR="00E046C6">
        <w:rPr>
          <w:rFonts w:hAnsi="Times New Roman" w:cs="Times New Roman"/>
          <w:color w:val="000000"/>
          <w:szCs w:val="24"/>
        </w:rPr>
        <w:t xml:space="preserve"> nei territori in cui essa è in corso, reintroducendo per loro la procedura di accertamento presso le Commissioni Mediche delle Aziende Sanitarie Locali, secondo le modalità previgenti alla riforma. </w:t>
      </w:r>
    </w:p>
    <w:p w14:paraId="4E291192" w14:textId="77777777" w:rsidR="00D46697" w:rsidRDefault="00E046C6" w:rsidP="001F1663">
      <w:pPr>
        <w:snapToGrid w:val="0"/>
        <w:ind w:firstLine="426"/>
        <w:jc w:val="both"/>
        <w:rPr>
          <w:rFonts w:hAnsi="Times New Roman" w:cs="Times New Roman"/>
          <w:color w:val="000000"/>
          <w:szCs w:val="24"/>
        </w:rPr>
      </w:pPr>
      <w:r>
        <w:rPr>
          <w:rFonts w:hAnsi="Times New Roman" w:cs="Times New Roman"/>
          <w:color w:val="000000"/>
          <w:szCs w:val="24"/>
        </w:rPr>
        <w:t>Tale impostazione è confermata dal Messaggio INPS n. 1377 del 23 aprile 2026</w:t>
      </w:r>
      <w:r w:rsidR="00C22189">
        <w:rPr>
          <w:rFonts w:hAnsi="Times New Roman" w:cs="Times New Roman"/>
          <w:color w:val="000000"/>
          <w:szCs w:val="24"/>
        </w:rPr>
        <w:t xml:space="preserve"> (in allegato)</w:t>
      </w:r>
      <w:r>
        <w:rPr>
          <w:rFonts w:hAnsi="Times New Roman" w:cs="Times New Roman"/>
          <w:color w:val="000000"/>
          <w:szCs w:val="24"/>
        </w:rPr>
        <w:t>, che ha fornito le prime indicazioni operative.</w:t>
      </w:r>
    </w:p>
    <w:p w14:paraId="1893FE6F" w14:textId="77777777" w:rsidR="00D46697" w:rsidRDefault="00E046C6" w:rsidP="001F1663">
      <w:pPr>
        <w:snapToGrid w:val="0"/>
        <w:ind w:firstLine="426"/>
        <w:jc w:val="both"/>
        <w:rPr>
          <w:rFonts w:hAnsi="Times New Roman" w:cs="Times New Roman"/>
          <w:color w:val="000000"/>
          <w:szCs w:val="24"/>
        </w:rPr>
      </w:pPr>
      <w:r>
        <w:rPr>
          <w:rFonts w:hAnsi="Times New Roman" w:cs="Times New Roman"/>
          <w:color w:val="000000"/>
          <w:szCs w:val="24"/>
        </w:rPr>
        <w:t xml:space="preserve">La reintroduzione della procedura ASL </w:t>
      </w:r>
      <w:r>
        <w:rPr>
          <w:rFonts w:hAnsi="Times New Roman" w:cs="Times New Roman"/>
          <w:b/>
          <w:color w:val="000000"/>
          <w:szCs w:val="24"/>
        </w:rPr>
        <w:t>non ha portata generale</w:t>
      </w:r>
      <w:r>
        <w:rPr>
          <w:rFonts w:hAnsi="Times New Roman" w:cs="Times New Roman"/>
          <w:color w:val="000000"/>
          <w:szCs w:val="24"/>
        </w:rPr>
        <w:t xml:space="preserve">: essa riguarda </w:t>
      </w:r>
      <w:r>
        <w:rPr>
          <w:rFonts w:hAnsi="Times New Roman" w:cs="Times New Roman"/>
          <w:b/>
          <w:color w:val="000000"/>
          <w:szCs w:val="24"/>
        </w:rPr>
        <w:t>esclusivamente</w:t>
      </w:r>
      <w:r>
        <w:rPr>
          <w:rFonts w:hAnsi="Times New Roman" w:cs="Times New Roman"/>
          <w:color w:val="000000"/>
          <w:szCs w:val="24"/>
        </w:rPr>
        <w:t xml:space="preserve"> le persone anziane che, </w:t>
      </w:r>
      <w:r>
        <w:rPr>
          <w:rFonts w:hAnsi="Times New Roman" w:cs="Times New Roman"/>
          <w:b/>
          <w:color w:val="000000"/>
          <w:szCs w:val="24"/>
        </w:rPr>
        <w:t>congiuntamente</w:t>
      </w:r>
      <w:r>
        <w:rPr>
          <w:rFonts w:hAnsi="Times New Roman" w:cs="Times New Roman"/>
          <w:color w:val="000000"/>
          <w:szCs w:val="24"/>
        </w:rPr>
        <w:t xml:space="preserve">, abbiano compiuto i 70 anni di età, siano affette da </w:t>
      </w:r>
      <w:r>
        <w:rPr>
          <w:rFonts w:hAnsi="Times New Roman" w:cs="Times New Roman"/>
          <w:b/>
          <w:color w:val="000000"/>
          <w:szCs w:val="24"/>
        </w:rPr>
        <w:t>almeno una patologia cronica</w:t>
      </w:r>
      <w:r>
        <w:rPr>
          <w:rFonts w:hAnsi="Times New Roman" w:cs="Times New Roman"/>
          <w:color w:val="000000"/>
          <w:szCs w:val="24"/>
        </w:rPr>
        <w:t xml:space="preserve"> e si trovino in </w:t>
      </w:r>
      <w:r>
        <w:rPr>
          <w:rFonts w:hAnsi="Times New Roman" w:cs="Times New Roman"/>
          <w:b/>
          <w:color w:val="000000"/>
          <w:szCs w:val="24"/>
        </w:rPr>
        <w:t>condizioni cliniche caratterizzate dalla progressiva riduzione delle normali funzioni fisiologiche</w:t>
      </w:r>
      <w:r>
        <w:rPr>
          <w:rFonts w:hAnsi="Times New Roman" w:cs="Times New Roman"/>
          <w:color w:val="000000"/>
          <w:szCs w:val="24"/>
        </w:rPr>
        <w:t xml:space="preserve">, suscettibili di aggravarsi con l’invecchiamento e di determinare il </w:t>
      </w:r>
      <w:r>
        <w:rPr>
          <w:rFonts w:hAnsi="Times New Roman" w:cs="Times New Roman"/>
          <w:b/>
          <w:color w:val="000000"/>
          <w:szCs w:val="24"/>
        </w:rPr>
        <w:t>rischio di perdita dell’autonomia nelle attività fondamentali della vita quotidiana</w:t>
      </w:r>
      <w:r>
        <w:rPr>
          <w:rFonts w:hAnsi="Times New Roman" w:cs="Times New Roman"/>
          <w:color w:val="000000"/>
          <w:szCs w:val="24"/>
        </w:rPr>
        <w:t xml:space="preserve">, anche tenendo conto delle specifiche condizioni sociali, ambientali e familiari (art. 27, comma 2, del d.lgs. n. 29/2024). </w:t>
      </w:r>
      <w:r>
        <w:rPr>
          <w:rFonts w:hAnsi="Times New Roman" w:cs="Times New Roman"/>
          <w:b/>
          <w:color w:val="000000"/>
          <w:szCs w:val="24"/>
        </w:rPr>
        <w:t>Tutti e tre i requisiti devono ricorrere simultaneamente.</w:t>
      </w:r>
    </w:p>
    <w:p w14:paraId="0094AD7D" w14:textId="77777777" w:rsidR="00D46697" w:rsidRDefault="00E046C6" w:rsidP="001F1663">
      <w:pPr>
        <w:snapToGrid w:val="0"/>
        <w:ind w:firstLine="426"/>
        <w:jc w:val="both"/>
        <w:rPr>
          <w:rFonts w:hAnsi="Times New Roman" w:cs="Times New Roman"/>
          <w:color w:val="000000"/>
          <w:szCs w:val="24"/>
        </w:rPr>
      </w:pPr>
      <w:r>
        <w:rPr>
          <w:rFonts w:hAnsi="Times New Roman" w:cs="Times New Roman"/>
          <w:color w:val="000000"/>
          <w:szCs w:val="24"/>
        </w:rPr>
        <w:t xml:space="preserve">Le province attualmente interessate dalla sperimentazione della riforma della disabilità — e quindi soggette alla nuova disciplina — sono le seguenti: </w:t>
      </w:r>
      <w:r>
        <w:rPr>
          <w:rFonts w:hAnsi="Times New Roman" w:cs="Times New Roman"/>
          <w:b/>
          <w:color w:val="000000"/>
          <w:szCs w:val="24"/>
        </w:rPr>
        <w:t>dal 1° gennaio 2025</w:t>
      </w:r>
      <w:r>
        <w:rPr>
          <w:rFonts w:hAnsi="Times New Roman" w:cs="Times New Roman"/>
          <w:color w:val="000000"/>
          <w:szCs w:val="24"/>
        </w:rPr>
        <w:t xml:space="preserve">, Brescia, Catanzaro, Firenze, Forlì-Cesena, Frosinone, Perugia, Salerno, Sassari e Trieste; </w:t>
      </w:r>
      <w:r>
        <w:rPr>
          <w:rFonts w:hAnsi="Times New Roman" w:cs="Times New Roman"/>
          <w:b/>
          <w:color w:val="000000"/>
          <w:szCs w:val="24"/>
        </w:rPr>
        <w:t>dal 30 settembre 2025</w:t>
      </w:r>
      <w:r>
        <w:rPr>
          <w:rFonts w:hAnsi="Times New Roman" w:cs="Times New Roman"/>
          <w:color w:val="000000"/>
          <w:szCs w:val="24"/>
        </w:rPr>
        <w:t xml:space="preserve">, Alessandria, Genova, Isernia, Lecce, Macerata, Matera, Palermo, Teramo e Vicenza; </w:t>
      </w:r>
      <w:r>
        <w:rPr>
          <w:rFonts w:hAnsi="Times New Roman" w:cs="Times New Roman"/>
          <w:b/>
          <w:color w:val="000000"/>
          <w:szCs w:val="24"/>
        </w:rPr>
        <w:t>dal 1° marzo 2026</w:t>
      </w:r>
      <w:r>
        <w:rPr>
          <w:rFonts w:hAnsi="Times New Roman" w:cs="Times New Roman"/>
          <w:color w:val="000000"/>
          <w:szCs w:val="24"/>
        </w:rPr>
        <w:t xml:space="preserve">, Ancona, Arezzo, Ascoli Piceno, Asti, Bergamo, Bologna, Bolzano/Bozen, Brindisi, Cagliari, Caltanissetta, Campobasso, Caserta, Catania, Chieti, Como, Cosenza, Crotone, Cuneo, La Spezia, Mantova, Massa Carrara, Messina, Milano, Pavia, Piacenza, Pordenone, Potenza, Ravenna, Reggio Calabria, Rimini, Roma, Savona, Sondrio, Terni, Torino, Treviso, Udine, Venezia, Verona e Vibo Valentia. Nelle province </w:t>
      </w:r>
      <w:r>
        <w:rPr>
          <w:rFonts w:hAnsi="Times New Roman" w:cs="Times New Roman"/>
          <w:b/>
          <w:color w:val="000000"/>
          <w:szCs w:val="24"/>
        </w:rPr>
        <w:t>non rientranti in tale elenco</w:t>
      </w:r>
      <w:r>
        <w:rPr>
          <w:rFonts w:hAnsi="Times New Roman" w:cs="Times New Roman"/>
          <w:color w:val="000000"/>
          <w:szCs w:val="24"/>
        </w:rPr>
        <w:t>, le procedure previgenti alla riforma della disabilità continuano ad applicarsi per tutti i richiedenti l’accertamento sanitario, indipendentemente dall’età.</w:t>
      </w:r>
    </w:p>
    <w:p w14:paraId="62D03A9F" w14:textId="77777777" w:rsidR="00D46697" w:rsidRDefault="00E046C6" w:rsidP="001F1663">
      <w:pPr>
        <w:snapToGrid w:val="0"/>
        <w:ind w:firstLine="426"/>
        <w:jc w:val="both"/>
        <w:rPr>
          <w:rFonts w:hAnsi="Times New Roman" w:cs="Times New Roman"/>
          <w:color w:val="000000"/>
          <w:szCs w:val="24"/>
        </w:rPr>
      </w:pPr>
      <w:r>
        <w:rPr>
          <w:rFonts w:hAnsi="Times New Roman" w:cs="Times New Roman"/>
          <w:color w:val="000000"/>
          <w:szCs w:val="24"/>
        </w:rPr>
        <w:t xml:space="preserve">Lo snodo normativo e procedurale tra il </w:t>
      </w:r>
      <w:r w:rsidR="001F1663">
        <w:rPr>
          <w:rFonts w:hAnsi="Times New Roman" w:cs="Times New Roman"/>
          <w:color w:val="000000"/>
          <w:szCs w:val="24"/>
        </w:rPr>
        <w:t>D</w:t>
      </w:r>
      <w:r>
        <w:rPr>
          <w:rFonts w:hAnsi="Times New Roman" w:cs="Times New Roman"/>
          <w:color w:val="000000"/>
          <w:szCs w:val="24"/>
        </w:rPr>
        <w:t xml:space="preserve">ecreto </w:t>
      </w:r>
      <w:r w:rsidR="001F1663">
        <w:rPr>
          <w:rFonts w:hAnsi="Times New Roman" w:cs="Times New Roman"/>
          <w:color w:val="000000"/>
          <w:szCs w:val="24"/>
        </w:rPr>
        <w:t>L</w:t>
      </w:r>
      <w:r>
        <w:rPr>
          <w:rFonts w:hAnsi="Times New Roman" w:cs="Times New Roman"/>
          <w:color w:val="000000"/>
          <w:szCs w:val="24"/>
        </w:rPr>
        <w:t xml:space="preserve">egislativo n. 29/2024, le modifiche apportate dall’art. 4, comma 4-quater, del </w:t>
      </w:r>
      <w:r w:rsidR="001F1663">
        <w:rPr>
          <w:rFonts w:hAnsi="Times New Roman" w:cs="Times New Roman"/>
          <w:color w:val="000000"/>
          <w:szCs w:val="24"/>
        </w:rPr>
        <w:t>D</w:t>
      </w:r>
      <w:r>
        <w:rPr>
          <w:rFonts w:hAnsi="Times New Roman" w:cs="Times New Roman"/>
          <w:color w:val="000000"/>
          <w:szCs w:val="24"/>
        </w:rPr>
        <w:t>ecreto-</w:t>
      </w:r>
      <w:r w:rsidR="001F1663">
        <w:rPr>
          <w:rFonts w:hAnsi="Times New Roman" w:cs="Times New Roman"/>
          <w:color w:val="000000"/>
          <w:szCs w:val="24"/>
        </w:rPr>
        <w:t>L</w:t>
      </w:r>
      <w:r>
        <w:rPr>
          <w:rFonts w:hAnsi="Times New Roman" w:cs="Times New Roman"/>
          <w:color w:val="000000"/>
          <w:szCs w:val="24"/>
        </w:rPr>
        <w:t xml:space="preserve">egge n. 19/2026, e il </w:t>
      </w:r>
      <w:r w:rsidR="001F1663">
        <w:rPr>
          <w:rFonts w:hAnsi="Times New Roman" w:cs="Times New Roman"/>
          <w:color w:val="000000"/>
          <w:szCs w:val="24"/>
        </w:rPr>
        <w:t>D</w:t>
      </w:r>
      <w:r>
        <w:rPr>
          <w:rFonts w:hAnsi="Times New Roman" w:cs="Times New Roman"/>
          <w:color w:val="000000"/>
          <w:szCs w:val="24"/>
        </w:rPr>
        <w:t xml:space="preserve">ecreto </w:t>
      </w:r>
      <w:r w:rsidR="001F1663">
        <w:rPr>
          <w:rFonts w:hAnsi="Times New Roman" w:cs="Times New Roman"/>
          <w:color w:val="000000"/>
          <w:szCs w:val="24"/>
        </w:rPr>
        <w:t>L</w:t>
      </w:r>
      <w:r>
        <w:rPr>
          <w:rFonts w:hAnsi="Times New Roman" w:cs="Times New Roman"/>
          <w:color w:val="000000"/>
          <w:szCs w:val="24"/>
        </w:rPr>
        <w:t xml:space="preserve">egislativo n. 62/2024 risiede precisamente nella </w:t>
      </w:r>
      <w:r>
        <w:rPr>
          <w:rFonts w:hAnsi="Times New Roman" w:cs="Times New Roman"/>
          <w:b/>
          <w:color w:val="000000"/>
          <w:szCs w:val="24"/>
        </w:rPr>
        <w:t>valutazione che il medico curante</w:t>
      </w:r>
      <w:r>
        <w:rPr>
          <w:rFonts w:hAnsi="Times New Roman" w:cs="Times New Roman"/>
          <w:color w:val="000000"/>
          <w:szCs w:val="24"/>
        </w:rPr>
        <w:t xml:space="preserve"> — o, più in senso lato, il medico prescrittore accreditato — esprime sulla persona ultrasettantenne che si trova di fronte. Se la ritiene </w:t>
      </w:r>
      <w:r>
        <w:rPr>
          <w:rFonts w:hAnsi="Times New Roman" w:cs="Times New Roman"/>
          <w:b/>
          <w:color w:val="000000"/>
          <w:szCs w:val="24"/>
        </w:rPr>
        <w:t>non autosufficiente</w:t>
      </w:r>
      <w:r>
        <w:rPr>
          <w:rFonts w:hAnsi="Times New Roman" w:cs="Times New Roman"/>
          <w:color w:val="000000"/>
          <w:szCs w:val="24"/>
        </w:rPr>
        <w:t xml:space="preserve"> ai sensi dell’art. 27, comma 2, del </w:t>
      </w:r>
      <w:r w:rsidR="00AE4182">
        <w:rPr>
          <w:rFonts w:hAnsi="Times New Roman" w:cs="Times New Roman"/>
          <w:color w:val="000000"/>
          <w:szCs w:val="24"/>
        </w:rPr>
        <w:t>D.lgs.</w:t>
      </w:r>
      <w:r>
        <w:rPr>
          <w:rFonts w:hAnsi="Times New Roman" w:cs="Times New Roman"/>
          <w:color w:val="000000"/>
          <w:szCs w:val="24"/>
        </w:rPr>
        <w:t xml:space="preserve"> n. 29/2024 — ossia se rileva la compresenza di almeno una patologia cronica e di condizioni cliniche di progressiva riduzione funzionale suscettibili di determinare il rischio di perdita dell’autonomia nelle attività fondamentali della vita quotidiana — si attiva il </w:t>
      </w:r>
      <w:r>
        <w:rPr>
          <w:rFonts w:hAnsi="Times New Roman" w:cs="Times New Roman"/>
          <w:b/>
          <w:color w:val="000000"/>
          <w:szCs w:val="24"/>
        </w:rPr>
        <w:t>percorso ASL secondo la procedura previgente alla riforma</w:t>
      </w:r>
      <w:r>
        <w:rPr>
          <w:rFonts w:hAnsi="Times New Roman" w:cs="Times New Roman"/>
          <w:color w:val="000000"/>
          <w:szCs w:val="24"/>
        </w:rPr>
        <w:t xml:space="preserve">. Se invece la ritiene </w:t>
      </w:r>
      <w:r>
        <w:rPr>
          <w:rFonts w:hAnsi="Times New Roman" w:cs="Times New Roman"/>
          <w:b/>
          <w:color w:val="000000"/>
          <w:szCs w:val="24"/>
        </w:rPr>
        <w:t>autosufficiente</w:t>
      </w:r>
      <w:r>
        <w:rPr>
          <w:rFonts w:hAnsi="Times New Roman" w:cs="Times New Roman"/>
          <w:color w:val="000000"/>
          <w:szCs w:val="24"/>
        </w:rPr>
        <w:t xml:space="preserve"> — e dunque non ravvisa la sussistenza dei requisiti cumulativi richiesti — trova applicazione la </w:t>
      </w:r>
      <w:r>
        <w:rPr>
          <w:rFonts w:hAnsi="Times New Roman" w:cs="Times New Roman"/>
          <w:b/>
          <w:color w:val="000000"/>
          <w:szCs w:val="24"/>
        </w:rPr>
        <w:t xml:space="preserve">procedura della riforma della disabilità di cui al </w:t>
      </w:r>
      <w:r w:rsidR="00817A85">
        <w:rPr>
          <w:rFonts w:hAnsi="Times New Roman" w:cs="Times New Roman"/>
          <w:b/>
          <w:color w:val="000000"/>
          <w:szCs w:val="24"/>
        </w:rPr>
        <w:t>D</w:t>
      </w:r>
      <w:r>
        <w:rPr>
          <w:rFonts w:hAnsi="Times New Roman" w:cs="Times New Roman"/>
          <w:b/>
          <w:color w:val="000000"/>
          <w:szCs w:val="24"/>
        </w:rPr>
        <w:t>.lgs. n. 62/2024</w:t>
      </w:r>
      <w:r>
        <w:rPr>
          <w:rFonts w:hAnsi="Times New Roman" w:cs="Times New Roman"/>
          <w:color w:val="000000"/>
          <w:szCs w:val="24"/>
        </w:rPr>
        <w:t>, con accertamento demandato alle commissioni INPS — e ciò, naturalmente, nelle sole province in cui la sperimentazione è stata avviata.</w:t>
      </w:r>
    </w:p>
    <w:p w14:paraId="6965D807" w14:textId="77777777" w:rsidR="00D46697" w:rsidRDefault="00E046C6" w:rsidP="001F1663">
      <w:pPr>
        <w:snapToGrid w:val="0"/>
        <w:ind w:firstLine="426"/>
        <w:jc w:val="both"/>
        <w:rPr>
          <w:rFonts w:hAnsi="Times New Roman" w:cs="Times New Roman"/>
          <w:color w:val="000000"/>
          <w:szCs w:val="24"/>
        </w:rPr>
      </w:pPr>
      <w:r>
        <w:rPr>
          <w:rFonts w:hAnsi="Times New Roman" w:cs="Times New Roman"/>
          <w:color w:val="000000"/>
          <w:szCs w:val="24"/>
        </w:rPr>
        <w:t>Ai fini pratici,</w:t>
      </w:r>
      <w:r w:rsidR="00817A85">
        <w:rPr>
          <w:rFonts w:hAnsi="Times New Roman" w:cs="Times New Roman"/>
          <w:color w:val="000000"/>
          <w:szCs w:val="24"/>
        </w:rPr>
        <w:t xml:space="preserve"> quindi,</w:t>
      </w:r>
      <w:r>
        <w:rPr>
          <w:rFonts w:hAnsi="Times New Roman" w:cs="Times New Roman"/>
          <w:color w:val="000000"/>
          <w:szCs w:val="24"/>
        </w:rPr>
        <w:t xml:space="preserve"> </w:t>
      </w:r>
      <w:r>
        <w:rPr>
          <w:rFonts w:hAnsi="Times New Roman" w:cs="Times New Roman"/>
          <w:b/>
          <w:color w:val="000000"/>
          <w:szCs w:val="24"/>
        </w:rPr>
        <w:t>l’elemento determinante per individuare il percorso corretto è il contenuto del certificato medico introduttivo</w:t>
      </w:r>
      <w:r>
        <w:rPr>
          <w:rFonts w:hAnsi="Times New Roman" w:cs="Times New Roman"/>
          <w:color w:val="000000"/>
          <w:szCs w:val="24"/>
        </w:rPr>
        <w:t xml:space="preserve">. </w:t>
      </w:r>
      <w:r w:rsidR="00AE4182">
        <w:rPr>
          <w:rFonts w:hAnsi="Times New Roman" w:cs="Times New Roman"/>
          <w:color w:val="000000"/>
          <w:szCs w:val="24"/>
        </w:rPr>
        <w:t>Come detto prima, è</w:t>
      </w:r>
      <w:r>
        <w:rPr>
          <w:rFonts w:hAnsi="Times New Roman" w:cs="Times New Roman"/>
          <w:color w:val="000000"/>
          <w:szCs w:val="24"/>
        </w:rPr>
        <w:t xml:space="preserve"> in sede di redazione di tale certificato che il medico valuta se il paziente </w:t>
      </w:r>
      <w:r w:rsidR="00817A85" w:rsidRPr="00817A85">
        <w:rPr>
          <w:rFonts w:hAnsi="Times New Roman" w:cs="Times New Roman"/>
          <w:color w:val="000000"/>
          <w:szCs w:val="24"/>
        </w:rPr>
        <w:t xml:space="preserve">di età pari o superiore a 70 anni </w:t>
      </w:r>
      <w:r>
        <w:rPr>
          <w:rFonts w:hAnsi="Times New Roman" w:cs="Times New Roman"/>
          <w:color w:val="000000"/>
          <w:szCs w:val="24"/>
        </w:rPr>
        <w:t xml:space="preserve">versa o meno nelle condizioni di non autosufficienza di cui all’art. 27, comma 2, del </w:t>
      </w:r>
      <w:r w:rsidR="00AE4182">
        <w:rPr>
          <w:rFonts w:hAnsi="Times New Roman" w:cs="Times New Roman"/>
          <w:color w:val="000000"/>
          <w:szCs w:val="24"/>
        </w:rPr>
        <w:t>D.l</w:t>
      </w:r>
      <w:r>
        <w:rPr>
          <w:rFonts w:hAnsi="Times New Roman" w:cs="Times New Roman"/>
          <w:color w:val="000000"/>
          <w:szCs w:val="24"/>
        </w:rPr>
        <w:t>gs. n. 29/2024.</w:t>
      </w:r>
    </w:p>
    <w:p w14:paraId="031D69ED" w14:textId="77777777" w:rsidR="00D46697" w:rsidRDefault="00E046C6" w:rsidP="001F1663">
      <w:pPr>
        <w:snapToGrid w:val="0"/>
        <w:ind w:firstLine="426"/>
        <w:jc w:val="both"/>
        <w:rPr>
          <w:rFonts w:hAnsi="Times New Roman" w:cs="Times New Roman"/>
          <w:color w:val="000000"/>
          <w:szCs w:val="24"/>
        </w:rPr>
      </w:pPr>
      <w:r>
        <w:rPr>
          <w:rFonts w:hAnsi="Times New Roman" w:cs="Times New Roman"/>
          <w:color w:val="000000"/>
          <w:szCs w:val="24"/>
        </w:rPr>
        <w:t xml:space="preserve">Se il medico curante </w:t>
      </w:r>
      <w:r>
        <w:rPr>
          <w:rFonts w:hAnsi="Times New Roman" w:cs="Times New Roman"/>
          <w:b/>
          <w:color w:val="000000"/>
          <w:szCs w:val="24"/>
        </w:rPr>
        <w:t>ritiene che sussistano</w:t>
      </w:r>
      <w:r>
        <w:rPr>
          <w:rFonts w:hAnsi="Times New Roman" w:cs="Times New Roman"/>
          <w:color w:val="000000"/>
          <w:szCs w:val="24"/>
        </w:rPr>
        <w:t xml:space="preserve"> le condizioni di non autosufficienza, l’assistito è indirizzato verso la procedura previgente presso la </w:t>
      </w:r>
      <w:r>
        <w:rPr>
          <w:rFonts w:hAnsi="Times New Roman" w:cs="Times New Roman"/>
          <w:b/>
          <w:color w:val="000000"/>
          <w:szCs w:val="24"/>
        </w:rPr>
        <w:t>ASL</w:t>
      </w:r>
      <w:r>
        <w:rPr>
          <w:rFonts w:hAnsi="Times New Roman" w:cs="Times New Roman"/>
          <w:color w:val="000000"/>
          <w:szCs w:val="24"/>
        </w:rPr>
        <w:t xml:space="preserve">. In tal caso, </w:t>
      </w:r>
      <w:r>
        <w:rPr>
          <w:rFonts w:hAnsi="Times New Roman" w:cs="Times New Roman"/>
          <w:b/>
          <w:color w:val="000000"/>
          <w:szCs w:val="24"/>
        </w:rPr>
        <w:t>la domanda amministrativa deve essere presentata, a pena di decadenza del certificato medico introduttivo, entro 90 giorni dal suo rilascio</w:t>
      </w:r>
      <w:r>
        <w:rPr>
          <w:rFonts w:hAnsi="Times New Roman" w:cs="Times New Roman"/>
          <w:color w:val="000000"/>
          <w:szCs w:val="24"/>
        </w:rPr>
        <w:t xml:space="preserve">. L’accertamento viene effettuato dalla Commissione Medica della ASL competente per territorio, con la </w:t>
      </w:r>
      <w:r>
        <w:rPr>
          <w:rFonts w:hAnsi="Times New Roman" w:cs="Times New Roman"/>
          <w:color w:val="000000"/>
          <w:szCs w:val="24"/>
        </w:rPr>
        <w:lastRenderedPageBreak/>
        <w:t>partecipazione di un medico INPS; l’esito è quindi validato dall’INPS entro 60 giorni e il verbale è trasmesso all’interessato con il riconoscimento dell’eventuale prestazione economica. Restano salvi i casi in cui sia operante una convenzione tra INPS e ASL per l’accentramento degli accertamenti presso l’Istituto (c.d. C.I.C.), ai sensi dell’art. 18, comma 22, del D.L. n. 98/2011 conv. in L. n. 111/2011.</w:t>
      </w:r>
    </w:p>
    <w:p w14:paraId="1A75535C" w14:textId="77777777" w:rsidR="00D46697" w:rsidRDefault="00E046C6" w:rsidP="001F1663">
      <w:pPr>
        <w:snapToGrid w:val="0"/>
        <w:ind w:firstLine="426"/>
        <w:jc w:val="both"/>
        <w:rPr>
          <w:rFonts w:hAnsi="Times New Roman" w:cs="Times New Roman"/>
          <w:color w:val="000000"/>
          <w:szCs w:val="24"/>
        </w:rPr>
      </w:pPr>
      <w:r>
        <w:rPr>
          <w:rFonts w:hAnsi="Times New Roman" w:cs="Times New Roman"/>
          <w:color w:val="000000"/>
          <w:szCs w:val="24"/>
        </w:rPr>
        <w:t xml:space="preserve">Se il medico curante </w:t>
      </w:r>
      <w:r>
        <w:rPr>
          <w:rFonts w:hAnsi="Times New Roman" w:cs="Times New Roman"/>
          <w:b/>
          <w:color w:val="000000"/>
          <w:szCs w:val="24"/>
        </w:rPr>
        <w:t>non ritiene che sussistano</w:t>
      </w:r>
      <w:r>
        <w:rPr>
          <w:rFonts w:hAnsi="Times New Roman" w:cs="Times New Roman"/>
          <w:color w:val="000000"/>
          <w:szCs w:val="24"/>
        </w:rPr>
        <w:t xml:space="preserve"> le condizioni di non autosufficienza, l’assistito è indirizzato verso la procedura ordinaria della riforma della disabilità di cui al </w:t>
      </w:r>
      <w:r w:rsidR="00817A85">
        <w:rPr>
          <w:rFonts w:hAnsi="Times New Roman" w:cs="Times New Roman"/>
          <w:color w:val="000000"/>
          <w:szCs w:val="24"/>
        </w:rPr>
        <w:t>D</w:t>
      </w:r>
      <w:r>
        <w:rPr>
          <w:rFonts w:hAnsi="Times New Roman" w:cs="Times New Roman"/>
          <w:color w:val="000000"/>
          <w:szCs w:val="24"/>
        </w:rPr>
        <w:t xml:space="preserve">.lgs. n. 62/2024, con accertamento demandato alle commissioni </w:t>
      </w:r>
      <w:r>
        <w:rPr>
          <w:rFonts w:hAnsi="Times New Roman" w:cs="Times New Roman"/>
          <w:b/>
          <w:color w:val="000000"/>
          <w:szCs w:val="24"/>
        </w:rPr>
        <w:t>INPS</w:t>
      </w:r>
      <w:r>
        <w:rPr>
          <w:rFonts w:hAnsi="Times New Roman" w:cs="Times New Roman"/>
          <w:color w:val="000000"/>
          <w:szCs w:val="24"/>
        </w:rPr>
        <w:t xml:space="preserve">. </w:t>
      </w:r>
      <w:r w:rsidR="00AE4182">
        <w:rPr>
          <w:rFonts w:hAnsi="Times New Roman" w:cs="Times New Roman"/>
          <w:color w:val="000000"/>
          <w:szCs w:val="24"/>
        </w:rPr>
        <w:t>I</w:t>
      </w:r>
      <w:r>
        <w:rPr>
          <w:rFonts w:hAnsi="Times New Roman" w:cs="Times New Roman"/>
          <w:color w:val="000000"/>
          <w:szCs w:val="24"/>
        </w:rPr>
        <w:t xml:space="preserve">n questo caso la domanda amministrativa </w:t>
      </w:r>
      <w:r w:rsidR="00AE4182">
        <w:rPr>
          <w:rFonts w:hAnsi="Times New Roman" w:cs="Times New Roman"/>
          <w:color w:val="000000"/>
          <w:szCs w:val="24"/>
        </w:rPr>
        <w:t>è già inglobata nel certificato medico introduttivo</w:t>
      </w:r>
      <w:r>
        <w:rPr>
          <w:rFonts w:hAnsi="Times New Roman" w:cs="Times New Roman"/>
          <w:color w:val="000000"/>
          <w:szCs w:val="24"/>
        </w:rPr>
        <w:t>.</w:t>
      </w:r>
    </w:p>
    <w:p w14:paraId="220BB4FC" w14:textId="77777777" w:rsidR="00817A85" w:rsidRDefault="00E046C6" w:rsidP="001F1663">
      <w:pPr>
        <w:snapToGrid w:val="0"/>
        <w:ind w:firstLine="426"/>
        <w:jc w:val="both"/>
        <w:rPr>
          <w:rFonts w:hAnsi="Times New Roman" w:cs="Times New Roman"/>
          <w:color w:val="000000"/>
          <w:szCs w:val="24"/>
        </w:rPr>
      </w:pPr>
      <w:r>
        <w:rPr>
          <w:rFonts w:hAnsi="Times New Roman" w:cs="Times New Roman"/>
          <w:color w:val="000000"/>
          <w:szCs w:val="24"/>
        </w:rPr>
        <w:t xml:space="preserve">È importante precisare che la valutazione espressa dal medico curante nel certificato introduttivo </w:t>
      </w:r>
      <w:r>
        <w:rPr>
          <w:rFonts w:hAnsi="Times New Roman" w:cs="Times New Roman"/>
          <w:b/>
          <w:color w:val="000000"/>
          <w:szCs w:val="24"/>
        </w:rPr>
        <w:t>non è vincolante</w:t>
      </w:r>
      <w:r>
        <w:rPr>
          <w:rFonts w:hAnsi="Times New Roman" w:cs="Times New Roman"/>
          <w:color w:val="000000"/>
          <w:szCs w:val="24"/>
        </w:rPr>
        <w:t xml:space="preserve"> per la Commissione procedente. La Commissione INPS, pur investita del caso perché il medico non aveva ritenuto sussistenti le condizioni di non autosufficienza, </w:t>
      </w:r>
      <w:r>
        <w:rPr>
          <w:rFonts w:hAnsi="Times New Roman" w:cs="Times New Roman"/>
          <w:b/>
          <w:color w:val="000000"/>
          <w:szCs w:val="24"/>
        </w:rPr>
        <w:t>può autonomamente accertare la non autosufficienza</w:t>
      </w:r>
      <w:r>
        <w:rPr>
          <w:rFonts w:hAnsi="Times New Roman" w:cs="Times New Roman"/>
          <w:color w:val="000000"/>
          <w:szCs w:val="24"/>
        </w:rPr>
        <w:t xml:space="preserve">; specularmente, la Commissione ASL, pur investita del caso perché il medico aveva ritenuto sussistenti tali condizioni, </w:t>
      </w:r>
      <w:r>
        <w:rPr>
          <w:rFonts w:hAnsi="Times New Roman" w:cs="Times New Roman"/>
          <w:b/>
          <w:color w:val="000000"/>
          <w:szCs w:val="24"/>
        </w:rPr>
        <w:t>può autonomamente accertare la sufficienza</w:t>
      </w:r>
      <w:r>
        <w:rPr>
          <w:rFonts w:hAnsi="Times New Roman" w:cs="Times New Roman"/>
          <w:color w:val="000000"/>
          <w:szCs w:val="24"/>
        </w:rPr>
        <w:t xml:space="preserve">. </w:t>
      </w:r>
    </w:p>
    <w:p w14:paraId="362AF9BE" w14:textId="77777777" w:rsidR="00D46697" w:rsidRDefault="00E046C6" w:rsidP="001F1663">
      <w:pPr>
        <w:snapToGrid w:val="0"/>
        <w:ind w:firstLine="426"/>
        <w:jc w:val="both"/>
        <w:rPr>
          <w:rFonts w:hAnsi="Times New Roman" w:cs="Times New Roman"/>
          <w:color w:val="000000"/>
          <w:szCs w:val="24"/>
        </w:rPr>
      </w:pPr>
      <w:r w:rsidRPr="00AE4182">
        <w:rPr>
          <w:rFonts w:hAnsi="Times New Roman" w:cs="Times New Roman"/>
          <w:b/>
          <w:color w:val="000000"/>
          <w:szCs w:val="24"/>
          <w:u w:val="single"/>
        </w:rPr>
        <w:t>Il certificato medico introduttivo svolge dunque una funzione di indirizzo procedurale, non di pre-determinazione dell’esito</w:t>
      </w:r>
      <w:r>
        <w:rPr>
          <w:rFonts w:hAnsi="Times New Roman" w:cs="Times New Roman"/>
          <w:color w:val="000000"/>
          <w:szCs w:val="24"/>
        </w:rPr>
        <w:t>.</w:t>
      </w:r>
    </w:p>
    <w:p w14:paraId="29BBD1D4" w14:textId="77777777" w:rsidR="00AE4182" w:rsidRDefault="00E046C6" w:rsidP="001F1663">
      <w:pPr>
        <w:snapToGrid w:val="0"/>
        <w:ind w:firstLine="426"/>
        <w:jc w:val="both"/>
        <w:rPr>
          <w:rFonts w:hAnsi="Times New Roman" w:cs="Times New Roman"/>
          <w:color w:val="000000"/>
          <w:szCs w:val="24"/>
        </w:rPr>
      </w:pPr>
      <w:r>
        <w:rPr>
          <w:rFonts w:hAnsi="Times New Roman" w:cs="Times New Roman"/>
          <w:color w:val="000000"/>
          <w:szCs w:val="24"/>
        </w:rPr>
        <w:t xml:space="preserve">Si invitano le Sezioni territoriali a informare tempestivamente gli assistiti di età pari o superiore a 70 anni circa il rilievo determinante del certificato medico introduttivo ai fini dell’individuazione del percorso valutativo e a segnalare </w:t>
      </w:r>
      <w:r w:rsidR="00AE4182">
        <w:rPr>
          <w:rFonts w:hAnsi="Times New Roman" w:cs="Times New Roman"/>
          <w:color w:val="000000"/>
          <w:szCs w:val="24"/>
        </w:rPr>
        <w:t>alla scrivente Presidenza Nazionale</w:t>
      </w:r>
      <w:r>
        <w:rPr>
          <w:rFonts w:hAnsi="Times New Roman" w:cs="Times New Roman"/>
          <w:color w:val="000000"/>
          <w:szCs w:val="24"/>
        </w:rPr>
        <w:t xml:space="preserve"> eventuali difficoltà operative o mancate prese in carico da parte delle commissioni ASL o INPS nel dare applicazione alla nuova disciplina.</w:t>
      </w:r>
      <w:r w:rsidR="00817A85">
        <w:rPr>
          <w:rFonts w:hAnsi="Times New Roman" w:cs="Times New Roman"/>
          <w:color w:val="000000"/>
          <w:szCs w:val="24"/>
        </w:rPr>
        <w:t xml:space="preserve"> Per necessità e/o chiarimenti sul doppio binario accertativo riservato agli ultra70enni, gli Uffici centrali UICI restano a Vostra disposizione.</w:t>
      </w:r>
    </w:p>
    <w:p w14:paraId="256D89C2" w14:textId="77777777" w:rsidR="00817A85" w:rsidRDefault="00817A85" w:rsidP="001F1663">
      <w:pPr>
        <w:snapToGrid w:val="0"/>
        <w:ind w:firstLine="426"/>
        <w:jc w:val="both"/>
        <w:rPr>
          <w:rFonts w:hAnsi="Times New Roman" w:cs="Times New Roman"/>
          <w:color w:val="000000"/>
          <w:szCs w:val="24"/>
        </w:rPr>
      </w:pPr>
    </w:p>
    <w:p w14:paraId="764AA5D9" w14:textId="77777777" w:rsidR="00D46697" w:rsidRDefault="00E046C6">
      <w:pPr>
        <w:snapToGrid w:val="0"/>
        <w:spacing w:line="360" w:lineRule="auto"/>
        <w:ind w:firstLine="426"/>
        <w:jc w:val="both"/>
        <w:rPr>
          <w:rFonts w:hAnsi="Times New Roman" w:cs="Times New Roman"/>
          <w:color w:val="000000"/>
          <w:szCs w:val="24"/>
        </w:rPr>
      </w:pPr>
      <w:r>
        <w:rPr>
          <w:rFonts w:hAnsi="Times New Roman" w:cs="Times New Roman"/>
          <w:color w:val="000000"/>
          <w:szCs w:val="24"/>
        </w:rPr>
        <w:t>Vive cordialità.</w:t>
      </w:r>
    </w:p>
    <w:p w14:paraId="28C975E3" w14:textId="77777777" w:rsidR="00817A85" w:rsidRDefault="00817A85">
      <w:pPr>
        <w:snapToGrid w:val="0"/>
        <w:spacing w:line="360" w:lineRule="auto"/>
        <w:ind w:firstLine="426"/>
        <w:jc w:val="both"/>
        <w:rPr>
          <w:rFonts w:hAnsi="Times New Roman" w:cs="Times New Roman"/>
          <w:color w:val="000000"/>
          <w:szCs w:val="24"/>
        </w:rPr>
      </w:pPr>
    </w:p>
    <w:p w14:paraId="53BC4946" w14:textId="77777777" w:rsidR="001F1663" w:rsidRPr="001F1663" w:rsidRDefault="001F1663" w:rsidP="001F1663">
      <w:pPr>
        <w:ind w:left="-284" w:firstLine="284"/>
        <w:jc w:val="both"/>
        <w:rPr>
          <w:rFonts w:eastAsia="Arial Unicode MS" w:hAnsi="Times New Roman" w:cs="Times New Roman"/>
          <w:b/>
          <w:iCs/>
          <w:szCs w:val="24"/>
        </w:rPr>
      </w:pPr>
      <w:r w:rsidRPr="001F1663">
        <w:rPr>
          <w:rFonts w:eastAsia="Arial Unicode MS" w:hAnsi="Times New Roman" w:cs="Times New Roman"/>
          <w:b/>
          <w:iCs/>
          <w:szCs w:val="24"/>
        </w:rPr>
        <w:t>Documenti allegati:</w:t>
      </w:r>
    </w:p>
    <w:p w14:paraId="7953EB07" w14:textId="77777777" w:rsidR="001F1663" w:rsidRPr="001F1663" w:rsidRDefault="001F1663" w:rsidP="001F1663">
      <w:pPr>
        <w:ind w:left="-284" w:firstLine="284"/>
        <w:jc w:val="both"/>
        <w:rPr>
          <w:rFonts w:eastAsia="Arial Unicode MS" w:hAnsi="Times New Roman" w:cs="Times New Roman"/>
          <w:iCs/>
          <w:szCs w:val="24"/>
        </w:rPr>
      </w:pPr>
      <w:r>
        <w:rPr>
          <w:rFonts w:eastAsia="Arial Unicode MS" w:hAnsi="Times New Roman" w:cs="Times New Roman"/>
          <w:iCs/>
          <w:szCs w:val="24"/>
        </w:rPr>
        <w:t xml:space="preserve">INPS messaggio </w:t>
      </w:r>
      <w:proofErr w:type="spellStart"/>
      <w:r>
        <w:rPr>
          <w:rFonts w:eastAsia="Arial Unicode MS" w:hAnsi="Times New Roman" w:cs="Times New Roman"/>
          <w:iCs/>
          <w:szCs w:val="24"/>
        </w:rPr>
        <w:t>hermes</w:t>
      </w:r>
      <w:proofErr w:type="spellEnd"/>
      <w:r>
        <w:rPr>
          <w:rFonts w:eastAsia="Arial Unicode MS" w:hAnsi="Times New Roman" w:cs="Times New Roman"/>
          <w:iCs/>
          <w:szCs w:val="24"/>
        </w:rPr>
        <w:t xml:space="preserve"> 1377 del 23/04/2026</w:t>
      </w:r>
    </w:p>
    <w:p w14:paraId="236C5B43" w14:textId="77777777" w:rsidR="001F1663" w:rsidRPr="001F1663" w:rsidRDefault="001F1663" w:rsidP="001F1663">
      <w:pPr>
        <w:ind w:left="-284" w:firstLine="284"/>
        <w:jc w:val="both"/>
        <w:rPr>
          <w:rFonts w:eastAsia="Arial Unicode MS" w:hAnsi="Times New Roman" w:cs="Times New Roman"/>
          <w:iCs/>
          <w:szCs w:val="24"/>
        </w:rPr>
      </w:pPr>
    </w:p>
    <w:p w14:paraId="0EF5EC97" w14:textId="77777777" w:rsidR="001F1663" w:rsidRPr="001F1663" w:rsidRDefault="001F1663" w:rsidP="001F1663">
      <w:pPr>
        <w:ind w:left="-284" w:firstLine="284"/>
        <w:jc w:val="both"/>
        <w:rPr>
          <w:rFonts w:eastAsia="Arial Unicode MS" w:hAnsi="Times New Roman" w:cs="Times New Roman"/>
          <w:b/>
          <w:i/>
          <w:iCs/>
          <w:szCs w:val="24"/>
        </w:rPr>
      </w:pPr>
      <w:r w:rsidRPr="001F1663">
        <w:rPr>
          <w:rFonts w:eastAsia="Arial Unicode MS" w:hAnsi="Times New Roman" w:cs="Times New Roman"/>
          <w:b/>
          <w:i/>
          <w:iCs/>
          <w:szCs w:val="24"/>
        </w:rPr>
        <w:tab/>
      </w:r>
      <w:r w:rsidRPr="001F1663">
        <w:rPr>
          <w:rFonts w:eastAsia="Arial Unicode MS" w:hAnsi="Times New Roman" w:cs="Times New Roman"/>
          <w:b/>
          <w:i/>
          <w:iCs/>
          <w:szCs w:val="24"/>
        </w:rPr>
        <w:tab/>
      </w:r>
      <w:r w:rsidRPr="001F1663">
        <w:rPr>
          <w:rFonts w:eastAsia="Arial Unicode MS" w:hAnsi="Times New Roman" w:cs="Times New Roman"/>
          <w:b/>
          <w:i/>
          <w:iCs/>
          <w:szCs w:val="24"/>
        </w:rPr>
        <w:tab/>
      </w:r>
      <w:r w:rsidRPr="001F1663">
        <w:rPr>
          <w:rFonts w:eastAsia="Arial Unicode MS" w:hAnsi="Times New Roman" w:cs="Times New Roman"/>
          <w:b/>
          <w:i/>
          <w:iCs/>
          <w:szCs w:val="24"/>
        </w:rPr>
        <w:tab/>
      </w:r>
      <w:r w:rsidRPr="001F1663">
        <w:rPr>
          <w:rFonts w:eastAsia="Arial Unicode MS" w:hAnsi="Times New Roman" w:cs="Times New Roman"/>
          <w:b/>
          <w:i/>
          <w:iCs/>
          <w:szCs w:val="24"/>
        </w:rPr>
        <w:tab/>
      </w:r>
      <w:r w:rsidRPr="001F1663">
        <w:rPr>
          <w:rFonts w:eastAsia="Arial Unicode MS" w:hAnsi="Times New Roman" w:cs="Times New Roman"/>
          <w:b/>
          <w:i/>
          <w:iCs/>
          <w:szCs w:val="24"/>
        </w:rPr>
        <w:tab/>
      </w:r>
    </w:p>
    <w:p w14:paraId="0B8208C4" w14:textId="77777777" w:rsidR="001F1663" w:rsidRPr="001F1663" w:rsidRDefault="001F1663" w:rsidP="001F1663">
      <w:pPr>
        <w:ind w:left="4672" w:firstLine="992"/>
        <w:jc w:val="both"/>
        <w:rPr>
          <w:rFonts w:hAnsi="Times New Roman" w:cs="Times New Roman"/>
          <w:szCs w:val="24"/>
        </w:rPr>
      </w:pPr>
      <w:r w:rsidRPr="001F1663">
        <w:rPr>
          <w:rFonts w:eastAsia="Arial Unicode MS" w:hAnsi="Times New Roman" w:cs="Times New Roman"/>
          <w:b/>
          <w:i/>
          <w:iCs/>
          <w:szCs w:val="24"/>
        </w:rPr>
        <w:t xml:space="preserve">Mario Barbuto – </w:t>
      </w:r>
      <w:r w:rsidRPr="001F1663">
        <w:rPr>
          <w:rFonts w:hAnsi="Times New Roman" w:cs="Times New Roman"/>
          <w:szCs w:val="24"/>
        </w:rPr>
        <w:t>Presidente nazionale</w:t>
      </w:r>
    </w:p>
    <w:p w14:paraId="16970B9E" w14:textId="77777777" w:rsidR="001F1663" w:rsidRPr="001F1663" w:rsidRDefault="001F1663" w:rsidP="001F1663">
      <w:pPr>
        <w:ind w:left="4672" w:firstLine="992"/>
        <w:jc w:val="both"/>
        <w:rPr>
          <w:rFonts w:hAnsi="Times New Roman" w:cs="Times New Roman"/>
          <w:szCs w:val="24"/>
        </w:rPr>
      </w:pPr>
    </w:p>
    <w:p w14:paraId="3BA559A8" w14:textId="77777777" w:rsidR="001F1663" w:rsidRPr="00110D07" w:rsidRDefault="001F1663" w:rsidP="001F1663">
      <w:pPr>
        <w:ind w:left="-284"/>
        <w:rPr>
          <w:rFonts w:hAnsi="Times New Roman" w:cs="Times New Roman"/>
          <w:sz w:val="20"/>
          <w:szCs w:val="24"/>
        </w:rPr>
      </w:pPr>
    </w:p>
    <w:p w14:paraId="516D50C8" w14:textId="77777777" w:rsidR="001F1663" w:rsidRPr="00110D07" w:rsidRDefault="001F1663" w:rsidP="001F1663">
      <w:pPr>
        <w:ind w:left="-284"/>
        <w:rPr>
          <w:rFonts w:hAnsi="Times New Roman" w:cs="Times New Roman"/>
          <w:sz w:val="20"/>
          <w:szCs w:val="24"/>
        </w:rPr>
      </w:pPr>
    </w:p>
    <w:p w14:paraId="69C0DED2" w14:textId="77777777" w:rsidR="001F1663" w:rsidRPr="00110D07" w:rsidRDefault="001F1663" w:rsidP="001F1663">
      <w:pPr>
        <w:ind w:left="-284"/>
        <w:rPr>
          <w:rFonts w:hAnsi="Times New Roman" w:cs="Times New Roman"/>
          <w:sz w:val="20"/>
          <w:szCs w:val="24"/>
        </w:rPr>
      </w:pPr>
    </w:p>
    <w:p w14:paraId="27311A26" w14:textId="77777777" w:rsidR="00817A85" w:rsidRPr="00110D07" w:rsidRDefault="00817A85" w:rsidP="00304559">
      <w:pPr>
        <w:rPr>
          <w:rFonts w:hAnsi="Times New Roman" w:cs="Times New Roman"/>
          <w:sz w:val="20"/>
          <w:szCs w:val="24"/>
        </w:rPr>
      </w:pPr>
    </w:p>
    <w:p w14:paraId="21C4E0F3" w14:textId="77777777" w:rsidR="00817A85" w:rsidRPr="00110D07" w:rsidRDefault="00817A85" w:rsidP="00304559">
      <w:pPr>
        <w:rPr>
          <w:rFonts w:hAnsi="Times New Roman" w:cs="Times New Roman"/>
          <w:sz w:val="20"/>
          <w:szCs w:val="24"/>
        </w:rPr>
      </w:pPr>
    </w:p>
    <w:p w14:paraId="18F68626" w14:textId="77777777" w:rsidR="00817A85" w:rsidRPr="00110D07" w:rsidRDefault="00817A85" w:rsidP="00304559">
      <w:pPr>
        <w:rPr>
          <w:rFonts w:hAnsi="Times New Roman" w:cs="Times New Roman"/>
          <w:sz w:val="20"/>
          <w:szCs w:val="24"/>
        </w:rPr>
      </w:pPr>
    </w:p>
    <w:p w14:paraId="4485184D" w14:textId="77777777" w:rsidR="001F1663" w:rsidRPr="00110D07" w:rsidRDefault="001F1663" w:rsidP="00304559">
      <w:pPr>
        <w:rPr>
          <w:rFonts w:hAnsi="Times New Roman" w:cs="Times New Roman"/>
          <w:sz w:val="20"/>
          <w:szCs w:val="24"/>
        </w:rPr>
      </w:pPr>
      <w:r w:rsidRPr="00110D07">
        <w:rPr>
          <w:rFonts w:hAnsi="Times New Roman" w:cs="Times New Roman"/>
          <w:sz w:val="20"/>
          <w:szCs w:val="24"/>
        </w:rPr>
        <w:t>LAPR (EC/</w:t>
      </w:r>
      <w:proofErr w:type="spellStart"/>
      <w:r w:rsidRPr="00110D07">
        <w:rPr>
          <w:rFonts w:hAnsi="Times New Roman" w:cs="Times New Roman"/>
          <w:sz w:val="20"/>
          <w:szCs w:val="24"/>
        </w:rPr>
        <w:t>ec</w:t>
      </w:r>
      <w:proofErr w:type="spellEnd"/>
      <w:r w:rsidRPr="00110D07">
        <w:rPr>
          <w:rFonts w:hAnsi="Times New Roman" w:cs="Times New Roman"/>
          <w:sz w:val="20"/>
          <w:szCs w:val="24"/>
        </w:rPr>
        <w:t>)</w:t>
      </w:r>
    </w:p>
    <w:p w14:paraId="41021A2A" w14:textId="77777777" w:rsidR="00676207" w:rsidRPr="001F1663" w:rsidRDefault="001F1663" w:rsidP="00304559">
      <w:pPr>
        <w:tabs>
          <w:tab w:val="left" w:pos="6237"/>
        </w:tabs>
        <w:jc w:val="both"/>
        <w:rPr>
          <w:rFonts w:hAnsi="Times New Roman" w:cs="Times New Roman"/>
          <w:sz w:val="12"/>
          <w:szCs w:val="24"/>
        </w:rPr>
      </w:pPr>
      <w:r w:rsidRPr="001F1663">
        <w:rPr>
          <w:rFonts w:hAnsi="Times New Roman" w:cs="Times New Roman"/>
          <w:sz w:val="12"/>
          <w:szCs w:val="24"/>
        </w:rPr>
        <w:fldChar w:fldCharType="begin"/>
      </w:r>
      <w:r w:rsidRPr="001F1663">
        <w:rPr>
          <w:rFonts w:hAnsi="Times New Roman" w:cs="Times New Roman"/>
          <w:sz w:val="12"/>
          <w:szCs w:val="24"/>
        </w:rPr>
        <w:instrText xml:space="preserve"> FILENAME \* Upper\p  \* MERGEFORMAT </w:instrText>
      </w:r>
      <w:r w:rsidRPr="001F1663">
        <w:rPr>
          <w:rFonts w:hAnsi="Times New Roman" w:cs="Times New Roman"/>
          <w:sz w:val="12"/>
          <w:szCs w:val="24"/>
        </w:rPr>
        <w:fldChar w:fldCharType="separate"/>
      </w:r>
      <w:r>
        <w:rPr>
          <w:rFonts w:hAnsi="Times New Roman" w:cs="Times New Roman"/>
          <w:noProof/>
          <w:sz w:val="12"/>
          <w:szCs w:val="24"/>
        </w:rPr>
        <w:t>S:\LAVORO E PREVIDENZA\CECCARELLI\LETTERE AL EC\ACCERTAMENTI SANITARI E TUTELA GIUDIZIALE\2026_RIFORMA DELLA DISABILITA (ULTRASETTANTENNI ANZIANI)\COMUNICATO ANZIANI. MODIFICHE EX DL 19 DEL 2026. COMPETENZA ALLE ASL.DOCX</w:t>
      </w:r>
      <w:r w:rsidRPr="001F1663">
        <w:rPr>
          <w:rFonts w:hAnsi="Times New Roman" w:cs="Times New Roman"/>
          <w:sz w:val="12"/>
          <w:szCs w:val="24"/>
        </w:rPr>
        <w:fldChar w:fldCharType="end"/>
      </w:r>
    </w:p>
    <w:sectPr w:rsidR="00676207" w:rsidRPr="001F1663">
      <w:headerReference w:type="default" r:id="rId8"/>
      <w:footerReference w:type="default" r:id="rId9"/>
      <w:pgSz w:w="11906" w:h="16838"/>
      <w:pgMar w:top="1418" w:right="851" w:bottom="1843" w:left="851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65411" w14:textId="77777777" w:rsidR="00EB121A" w:rsidRDefault="00EB121A">
      <w:r>
        <w:separator/>
      </w:r>
    </w:p>
  </w:endnote>
  <w:endnote w:type="continuationSeparator" w:id="0">
    <w:p w14:paraId="0376B6C1" w14:textId="77777777" w:rsidR="00EB121A" w:rsidRDefault="00EB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numGothic">
    <w:charset w:val="81"/>
    <w:family w:val="auto"/>
    <w:pitch w:val="variable"/>
    <w:sig w:usb0="80000003" w:usb1="09D7FCE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altName w:val="Calibri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EE246" w14:textId="77777777" w:rsidR="00064BB0" w:rsidRDefault="004E3774">
    <w:pPr>
      <w:tabs>
        <w:tab w:val="center" w:pos="4819"/>
        <w:tab w:val="right" w:pos="9638"/>
      </w:tabs>
      <w:snapToGrid w:val="0"/>
      <w:jc w:val="center"/>
      <w:rPr>
        <w:rFonts w:hAnsi="Times New Roman"/>
        <w:b/>
        <w:color w:val="333333"/>
        <w:sz w:val="18"/>
      </w:rPr>
    </w:pPr>
    <w:r>
      <w:rPr>
        <w:rFonts w:hAnsi="Times New Roman"/>
        <w:b/>
        <w:noProof/>
        <w:color w:val="333333"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2297BF" wp14:editId="2C245C18">
              <wp:simplePos x="0" y="0"/>
              <wp:positionH relativeFrom="column">
                <wp:posOffset>-76200</wp:posOffset>
              </wp:positionH>
              <wp:positionV relativeFrom="paragraph">
                <wp:posOffset>-954405</wp:posOffset>
              </wp:positionV>
              <wp:extent cx="6649720" cy="733425"/>
              <wp:effectExtent l="0" t="0" r="0" b="1905"/>
              <wp:wrapSquare wrapText="bothSides"/>
              <wp:docPr id="2" name="Rectangles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49720" cy="733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4B15C8" w14:textId="77777777" w:rsidR="00235D16" w:rsidRPr="00235D16" w:rsidRDefault="00235D16" w:rsidP="00235D16">
                          <w:pPr>
                            <w:tabs>
                              <w:tab w:val="center" w:pos="4819"/>
                              <w:tab w:val="right" w:pos="9638"/>
                            </w:tabs>
                            <w:jc w:val="center"/>
                            <w:rPr>
                              <w:rFonts w:hAnsi="Times New Roman" w:cs="Times New Roman"/>
                              <w:b/>
                              <w:bCs/>
                              <w:color w:val="333333"/>
                              <w:spacing w:val="-2"/>
                              <w:sz w:val="14"/>
                              <w:szCs w:val="14"/>
                            </w:rPr>
                          </w:pPr>
                          <w:r w:rsidRPr="00235D16">
                            <w:rPr>
                              <w:rFonts w:hAnsi="Times New Roman" w:cs="Times New Roman"/>
                              <w:b/>
                              <w:bCs/>
                              <w:color w:val="333333"/>
                              <w:spacing w:val="-2"/>
                              <w:sz w:val="14"/>
                              <w:szCs w:val="14"/>
                            </w:rPr>
                            <w:t xml:space="preserve">00187 Roma - Via Borgognona, 38 - Tel. 06/699881 </w:t>
                          </w:r>
                          <w:proofErr w:type="spellStart"/>
                          <w:r w:rsidRPr="00235D16">
                            <w:rPr>
                              <w:rFonts w:hAnsi="Times New Roman" w:cs="Times New Roman"/>
                              <w:b/>
                              <w:bCs/>
                              <w:color w:val="333333"/>
                              <w:spacing w:val="-2"/>
                              <w:sz w:val="14"/>
                              <w:szCs w:val="14"/>
                            </w:rPr>
                            <w:t>r.a.</w:t>
                          </w:r>
                          <w:proofErr w:type="spellEnd"/>
                          <w:r w:rsidRPr="00235D16">
                            <w:rPr>
                              <w:rFonts w:hAnsi="Times New Roman" w:cs="Times New Roman"/>
                              <w:b/>
                              <w:bCs/>
                              <w:color w:val="333333"/>
                              <w:spacing w:val="-2"/>
                              <w:sz w:val="14"/>
                              <w:szCs w:val="14"/>
                            </w:rPr>
                            <w:t xml:space="preserve"> - Sito internet: www.uici.it - E-mail: unione@uici.it – uici@legalmail.it</w:t>
                          </w:r>
                        </w:p>
                        <w:p w14:paraId="2F8F84E1" w14:textId="77777777" w:rsidR="00235D16" w:rsidRPr="00235D16" w:rsidRDefault="00235D16" w:rsidP="00235D16">
                          <w:pPr>
                            <w:tabs>
                              <w:tab w:val="center" w:pos="4819"/>
                              <w:tab w:val="right" w:pos="9638"/>
                            </w:tabs>
                            <w:spacing w:line="60" w:lineRule="exact"/>
                            <w:jc w:val="both"/>
                            <w:rPr>
                              <w:rFonts w:hAnsi="Times New Roman" w:cs="Times New Roman"/>
                              <w:b/>
                              <w:bCs/>
                              <w:color w:val="333333"/>
                              <w:sz w:val="14"/>
                              <w:szCs w:val="14"/>
                            </w:rPr>
                          </w:pPr>
                        </w:p>
                        <w:p w14:paraId="2FE982CE" w14:textId="77777777" w:rsidR="00235D16" w:rsidRPr="00235D16" w:rsidRDefault="00235D16" w:rsidP="00235D16">
                          <w:pPr>
                            <w:jc w:val="both"/>
                            <w:rPr>
                              <w:rFonts w:hAnsi="Times New Roman" w:cs="Times New Roman"/>
                              <w:color w:val="333333"/>
                              <w:spacing w:val="-2"/>
                              <w:sz w:val="14"/>
                              <w:szCs w:val="14"/>
                            </w:rPr>
                          </w:pPr>
                          <w:r w:rsidRPr="00235D16">
                            <w:rPr>
                              <w:rFonts w:hAnsi="Times New Roman" w:cs="Times New Roman"/>
                              <w:color w:val="333333"/>
                              <w:spacing w:val="-2"/>
                              <w:sz w:val="14"/>
                              <w:szCs w:val="14"/>
                            </w:rPr>
                            <w:t xml:space="preserve">Ente morale riconosciuto con R.D. n. 1789 del 29/7/1923 e D.P.R. 23/12/1978 (G.U. 3/3/1979 n. 62), posto sotto la vigilanza del Governo (D.P.R. 17/2/1990 in G.U. 11/6/1990 n. 134); Associazione di Promozione Sociale iscritta al Registro Nazionale (L. 7/12/2000 n. 383) con il n. 17, e iscritta alla sezione APS del Registro Unico Nazionale del Terzo Settore, </w:t>
                          </w:r>
                          <w:proofErr w:type="spellStart"/>
                          <w:r w:rsidRPr="00235D16">
                            <w:rPr>
                              <w:rFonts w:hAnsi="Times New Roman" w:cs="Times New Roman"/>
                              <w:color w:val="333333"/>
                              <w:spacing w:val="-2"/>
                              <w:sz w:val="14"/>
                              <w:szCs w:val="14"/>
                            </w:rPr>
                            <w:t>D.Lgs.</w:t>
                          </w:r>
                          <w:proofErr w:type="spellEnd"/>
                          <w:r w:rsidRPr="00235D16">
                            <w:rPr>
                              <w:rFonts w:hAnsi="Times New Roman" w:cs="Times New Roman"/>
                              <w:color w:val="333333"/>
                              <w:spacing w:val="-2"/>
                              <w:sz w:val="14"/>
                              <w:szCs w:val="14"/>
                            </w:rPr>
                            <w:t xml:space="preserve"> n. 117/2017 (Codice del Terzo Settore) e ss. mm. ii., con determinazione della Regione Lazio n. G02811 del 02/03/2023, al nr. Repertorio 104214 - Cassiere: Intesa Sanpaolo - Via del Corso, 226 - 00186 Roma - Coordinate bancarie: IBAN IT38X0306905020100000062318 BIC: BCITITMM - Unione Italiana dei Ciechi e degli Ipovedenti ETS - APS Roma - Cod. Fisc. 01365520582 - Part. I.V.A. 00989551007.</w:t>
                          </w:r>
                        </w:p>
                        <w:p w14:paraId="2C4BF539" w14:textId="77777777" w:rsidR="00064BB0" w:rsidRDefault="00064BB0">
                          <w:pPr>
                            <w:snapToGrid w:val="0"/>
                            <w:jc w:val="both"/>
                            <w:rPr>
                              <w:rFonts w:hAnsi="Times New Roman"/>
                              <w:color w:val="333333"/>
                              <w:spacing w:val="-2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2297BF" id="Rectangles 3" o:spid="_x0000_s1026" style="position:absolute;left:0;text-align:left;margin-left:-6pt;margin-top:-75.15pt;width:523.6pt;height:5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9fC2QEAAJcDAAAOAAAAZHJzL2Uyb0RvYy54bWysU8Fu2zAMvQ/YPwi6L47TNF2NOEXRosOA&#10;bh3Q7QNkWbaF2aJGKrGzrx+lpGm23YZdBIqkHt8jqfXNNPRiZ5AsuFLms7kUxmmorWtL+e3rw7v3&#10;UlBQrlY9OFPKvSF5s3n7Zj36wiygg742KBjEUTH6UnYh+CLLSHdmUDQDbxwHG8BBBb5im9WoRkYf&#10;+mwxn6+yEbD2CNoQsff+EJSbhN80RoenpiETRF9K5hbSiems4plt1qpoUfnO6iMN9Q8sBmUdFz1B&#10;3augxBbtX1CD1QgETZhpGDJoGqtN0sBq8vkfap475U3Sws0hf2oT/T9Y/Xn37L9gpE7+EfR3Eg7u&#10;OuVac4sIY2dUzeXy2Khs9FScHsQL8VNRjZ+g5tGqbYDUg6nBIQKyOjGlVu9PrTZTEJqdq9Xy+mrB&#10;E9Ecu7q4WC4uUwlVvLz2SOGDgUFEo5TIo0zoavdIIbJRxUtKLObgwfZ9GmfvfnNwYvQk9pFw3A0q&#10;wlRNnB3NCuo960A4bAdvMxsd4E8pRt6MUtKPrUIjRf/RcS+u8+UyrlK6LC+TCjyPVOcR5TRDlTJI&#10;cTDvwmH9th5t23GlPMlycMv9a2yS9srqyJunnxQfNzWu1/k9Zb3+p80vAAAA//8DAFBLAwQUAAYA&#10;CAAAACEAyXetfuMAAAANAQAADwAAAGRycy9kb3ducmV2LnhtbEyPQUvDQBCF74L/YRnBi7S7TayU&#10;NJsiBbGIUExtz9vsmASzs2l2m8R/7+akt5l5jzffSzejaViPnastSVjMBTCkwuqaSgmfh5fZCpjz&#10;irRqLKGEH3SwyW5vUpVoO9AH9rkvWQghlygJlfdtwrkrKjTKzW2LFLQv2xnlw9qVXHdqCOGm4ZEQ&#10;T9yomsKHSrW4rbD4zq9GwlDs+9Ph/ZXvH047S5fdZZsf36S8vxuf18A8jv7PDBN+QIcsMJ3tlbRj&#10;jYTZIgpd/DQsRQxssoh4GQE7h1v8uAKepfx/i+wXAAD//wMAUEsBAi0AFAAGAAgAAAAhALaDOJL+&#10;AAAA4QEAABMAAAAAAAAAAAAAAAAAAAAAAFtDb250ZW50X1R5cGVzXS54bWxQSwECLQAUAAYACAAA&#10;ACEAOP0h/9YAAACUAQAACwAAAAAAAAAAAAAAAAAvAQAAX3JlbHMvLnJlbHNQSwECLQAUAAYACAAA&#10;ACEA9JfXwtkBAACXAwAADgAAAAAAAAAAAAAAAAAuAgAAZHJzL2Uyb0RvYy54bWxQSwECLQAUAAYA&#10;CAAAACEAyXetfuMAAAANAQAADwAAAAAAAAAAAAAAAAAzBAAAZHJzL2Rvd25yZXYueG1sUEsFBgAA&#10;AAAEAAQA8wAAAEMFAAAAAA==&#10;" filled="f" stroked="f">
              <v:textbox>
                <w:txbxContent>
                  <w:p w14:paraId="644B15C8" w14:textId="77777777" w:rsidR="00235D16" w:rsidRPr="00235D16" w:rsidRDefault="00235D16" w:rsidP="00235D16">
                    <w:pPr>
                      <w:tabs>
                        <w:tab w:val="center" w:pos="4819"/>
                        <w:tab w:val="right" w:pos="9638"/>
                      </w:tabs>
                      <w:jc w:val="center"/>
                      <w:rPr>
                        <w:rFonts w:hAnsi="Times New Roman" w:cs="Times New Roman"/>
                        <w:b/>
                        <w:bCs/>
                        <w:color w:val="333333"/>
                        <w:spacing w:val="-2"/>
                        <w:sz w:val="14"/>
                        <w:szCs w:val="14"/>
                      </w:rPr>
                    </w:pPr>
                    <w:r w:rsidRPr="00235D16">
                      <w:rPr>
                        <w:rFonts w:hAnsi="Times New Roman" w:cs="Times New Roman"/>
                        <w:b/>
                        <w:bCs/>
                        <w:color w:val="333333"/>
                        <w:spacing w:val="-2"/>
                        <w:sz w:val="14"/>
                        <w:szCs w:val="14"/>
                      </w:rPr>
                      <w:t xml:space="preserve">00187 Roma - Via Borgognona, 38 - Tel. 06/699881 </w:t>
                    </w:r>
                    <w:proofErr w:type="spellStart"/>
                    <w:r w:rsidRPr="00235D16">
                      <w:rPr>
                        <w:rFonts w:hAnsi="Times New Roman" w:cs="Times New Roman"/>
                        <w:b/>
                        <w:bCs/>
                        <w:color w:val="333333"/>
                        <w:spacing w:val="-2"/>
                        <w:sz w:val="14"/>
                        <w:szCs w:val="14"/>
                      </w:rPr>
                      <w:t>r.a.</w:t>
                    </w:r>
                    <w:proofErr w:type="spellEnd"/>
                    <w:r w:rsidRPr="00235D16">
                      <w:rPr>
                        <w:rFonts w:hAnsi="Times New Roman" w:cs="Times New Roman"/>
                        <w:b/>
                        <w:bCs/>
                        <w:color w:val="333333"/>
                        <w:spacing w:val="-2"/>
                        <w:sz w:val="14"/>
                        <w:szCs w:val="14"/>
                      </w:rPr>
                      <w:t xml:space="preserve"> - Sito internet: www.uici.it - E-mail: unione@uici.it – uici@legalmail.it</w:t>
                    </w:r>
                  </w:p>
                  <w:p w14:paraId="2F8F84E1" w14:textId="77777777" w:rsidR="00235D16" w:rsidRPr="00235D16" w:rsidRDefault="00235D16" w:rsidP="00235D16">
                    <w:pPr>
                      <w:tabs>
                        <w:tab w:val="center" w:pos="4819"/>
                        <w:tab w:val="right" w:pos="9638"/>
                      </w:tabs>
                      <w:spacing w:line="60" w:lineRule="exact"/>
                      <w:jc w:val="both"/>
                      <w:rPr>
                        <w:rFonts w:hAnsi="Times New Roman" w:cs="Times New Roman"/>
                        <w:b/>
                        <w:bCs/>
                        <w:color w:val="333333"/>
                        <w:sz w:val="14"/>
                        <w:szCs w:val="14"/>
                      </w:rPr>
                    </w:pPr>
                  </w:p>
                  <w:p w14:paraId="2FE982CE" w14:textId="77777777" w:rsidR="00235D16" w:rsidRPr="00235D16" w:rsidRDefault="00235D16" w:rsidP="00235D16">
                    <w:pPr>
                      <w:jc w:val="both"/>
                      <w:rPr>
                        <w:rFonts w:hAnsi="Times New Roman" w:cs="Times New Roman"/>
                        <w:color w:val="333333"/>
                        <w:spacing w:val="-2"/>
                        <w:sz w:val="14"/>
                        <w:szCs w:val="14"/>
                      </w:rPr>
                    </w:pPr>
                    <w:r w:rsidRPr="00235D16">
                      <w:rPr>
                        <w:rFonts w:hAnsi="Times New Roman" w:cs="Times New Roman"/>
                        <w:color w:val="333333"/>
                        <w:spacing w:val="-2"/>
                        <w:sz w:val="14"/>
                        <w:szCs w:val="14"/>
                      </w:rPr>
                      <w:t xml:space="preserve">Ente morale riconosciuto con R.D. n. 1789 del 29/7/1923 e D.P.R. 23/12/1978 (G.U. 3/3/1979 n. 62), posto sotto la vigilanza del Governo (D.P.R. 17/2/1990 in G.U. 11/6/1990 n. 134); Associazione di Promozione Sociale iscritta al Registro Nazionale (L. 7/12/2000 n. 383) con il n. 17, e iscritta alla sezione APS del Registro Unico Nazionale del Terzo Settore, </w:t>
                    </w:r>
                    <w:proofErr w:type="spellStart"/>
                    <w:r w:rsidRPr="00235D16">
                      <w:rPr>
                        <w:rFonts w:hAnsi="Times New Roman" w:cs="Times New Roman"/>
                        <w:color w:val="333333"/>
                        <w:spacing w:val="-2"/>
                        <w:sz w:val="14"/>
                        <w:szCs w:val="14"/>
                      </w:rPr>
                      <w:t>D.Lgs.</w:t>
                    </w:r>
                    <w:proofErr w:type="spellEnd"/>
                    <w:r w:rsidRPr="00235D16">
                      <w:rPr>
                        <w:rFonts w:hAnsi="Times New Roman" w:cs="Times New Roman"/>
                        <w:color w:val="333333"/>
                        <w:spacing w:val="-2"/>
                        <w:sz w:val="14"/>
                        <w:szCs w:val="14"/>
                      </w:rPr>
                      <w:t xml:space="preserve"> n. 117/2017 (Codice del Terzo Settore) e ss. mm. ii., con determinazione della Regione Lazio n. G02811 del 02/03/2023, al nr. Repertorio 104214 - Cassiere: Intesa Sanpaolo - Via del Corso, 226 - 00186 Roma - Coordinate bancarie: IBAN IT38X0306905020100000062318 BIC: BCITITMM - Unione Italiana dei Ciechi e degli Ipovedenti ETS - APS Roma - Cod. Fisc. 01365520582 - Part. I.V.A. 00989551007.</w:t>
                    </w:r>
                  </w:p>
                  <w:p w14:paraId="2C4BF539" w14:textId="77777777" w:rsidR="00064BB0" w:rsidRDefault="00064BB0">
                    <w:pPr>
                      <w:snapToGrid w:val="0"/>
                      <w:jc w:val="both"/>
                      <w:rPr>
                        <w:rFonts w:hAnsi="Times New Roman"/>
                        <w:color w:val="333333"/>
                        <w:spacing w:val="-2"/>
                        <w:sz w:val="1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hAnsi="Times New Roman"/>
        <w:noProof/>
        <w:color w:val="333333"/>
        <w:spacing w:val="-2"/>
        <w:sz w:val="1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9EDD92B" wp14:editId="04B0EEF0">
              <wp:simplePos x="0" y="0"/>
              <wp:positionH relativeFrom="column">
                <wp:posOffset>0</wp:posOffset>
              </wp:positionH>
              <wp:positionV relativeFrom="paragraph">
                <wp:posOffset>-954405</wp:posOffset>
              </wp:positionV>
              <wp:extent cx="6480175" cy="0"/>
              <wp:effectExtent l="9525" t="7620" r="6350" b="11430"/>
              <wp:wrapNone/>
              <wp:docPr id="1" name="Line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496AA2" id="Lines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75.15pt" to="510.25pt,-75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2tP+FQIAACkEAAAOAAAAZHJzL2Uyb0RvYy54bWysU8uu2jAQ3VfqP1jeQxIaKESEqyoh3dBe pHv7AcZ2iFXHtmxDQFX/vWPzaGk3VdUsHD/OHJ+ZM14+nXqJjtw6oVWJs3GKEVdUM6H2Jf7y2ozm GDlPFCNSK17iM3f4afX2zXIwBZ/oTkvGLQIS5YrBlLjz3hRJ4mjHe+LG2nAFh622PfGwtPuEWTIA ey+TSZrOkkFbZqym3DnYrS+HeBX525ZT/9y2jnskSwzafBxtHHdhTFZLUuwtMZ2gVxnkH1T0RCi4 9E5VE0/QwYo/qHpBrXa69WOq+0S3raA85gDZZOlv2bx0xPCYCxTHmXuZ3P+jpZ+PW4sEA+8wUqQH izZCcYeyUJrBuAIQldrakBw9qRez0fSrQ0pXHVF7HiW+ng3ExYjkISQsnIELdsMnzQBDDl7HOp1a 2wdKqAA6RTvOdzv4ySMKm7N8nmbvpxjR21lCilugsc5/5LpHYVJiCaIjMTlunAfpAL1Bwj1KN0LK 6LZUaCjxYjqZxgCnpWDhMMCc3e8qadGRQL80TQpfqAOQPcCsPigWyTpO2Po690TIyxzwUgU+SAXk XGeXhvi2SBfr+Xqej/LJbD3K07oefWiqfDRrINn6XV1VdfY9SMvyohOMcRXU3Zozy//O/OszubTV vT3vZUge2WOKIPb2j6Kjl8G+SyPsNDtvbahGsBX6MYKvbyc0/K/riPr5wlc/AAAA//8DAFBLAwQU AAYACAAAACEAZygSWN0AAAALAQAADwAAAGRycy9kb3ducmV2LnhtbEyPwU7DMBBE70j8g7WVuLV2 ihqhEKeqEFzgRKkqcXPjJUkTr0O8TcPf4x4QPc7OauZNvp5cJ0YcQuNJQ7JQIJBKbxuqNOw+XuYP IAIbsqbzhBp+MMC6uL3JTWb9md5x3HIlYgiFzGiomftMylDW6ExY+B4pel9+cIajHCppB3OO4a6T S6VS6UxDsaE2PT7VWLbbk9PA6ZH3Nv1+bZNdu/9Ub2pUm2et72bT5hEE48T/z3DBj+hQRKaDP5EN otMQh7CGebJS9yAuvlqqFYjD300WubzeUPwCAAD//wMAUEsBAi0AFAAGAAgAAAAhALaDOJL+AAAA 4QEAABMAAAAAAAAAAAAAAAAAAAAAAFtDb250ZW50X1R5cGVzXS54bWxQSwECLQAUAAYACAAAACEA OP0h/9YAAACUAQAACwAAAAAAAAAAAAAAAAAvAQAAX3JlbHMvLnJlbHNQSwECLQAUAAYACAAAACEA EdrT/hUCAAApBAAADgAAAAAAAAAAAAAAAAAuAgAAZHJzL2Uyb0RvYy54bWxQSwECLQAUAAYACAAA ACEAZygSWN0AAAALAQAADwAAAAAAAAAAAAAAAABvBAAAZHJzL2Rvd25yZXYueG1sUEsFBgAAAAAE AAQA8wAAAHkFAAAAAA== " strokecolor="red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516C4" w14:textId="77777777" w:rsidR="00EB121A" w:rsidRDefault="00EB121A">
      <w:r>
        <w:separator/>
      </w:r>
    </w:p>
  </w:footnote>
  <w:footnote w:type="continuationSeparator" w:id="0">
    <w:p w14:paraId="466F91A6" w14:textId="77777777" w:rsidR="00EB121A" w:rsidRDefault="00EB1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D7D03" w14:textId="77777777" w:rsidR="00064BB0" w:rsidRDefault="004E3774">
    <w:pPr>
      <w:tabs>
        <w:tab w:val="center" w:pos="4819"/>
        <w:tab w:val="right" w:pos="9638"/>
      </w:tabs>
      <w:snapToGrid w:val="0"/>
      <w:spacing w:line="460" w:lineRule="exact"/>
      <w:jc w:val="center"/>
      <w:rPr>
        <w:rFonts w:hAnsi="Times New Roman"/>
        <w:b/>
        <w:color w:val="333333"/>
        <w:sz w:val="32"/>
      </w:rPr>
    </w:pPr>
    <w:r>
      <w:rPr>
        <w:rFonts w:hAnsi="Times New Roman"/>
        <w:noProof/>
        <w:color w:val="000000"/>
      </w:rPr>
      <w:drawing>
        <wp:anchor distT="0" distB="0" distL="114300" distR="114300" simplePos="0" relativeHeight="251659264" behindDoc="0" locked="0" layoutInCell="1" allowOverlap="1" wp14:anchorId="164FA849" wp14:editId="08F7C0C1">
          <wp:simplePos x="0" y="0"/>
          <wp:positionH relativeFrom="column">
            <wp:posOffset>-292100</wp:posOffset>
          </wp:positionH>
          <wp:positionV relativeFrom="paragraph">
            <wp:posOffset>-155575</wp:posOffset>
          </wp:positionV>
          <wp:extent cx="1519555" cy="1075690"/>
          <wp:effectExtent l="0" t="0" r="0" b="0"/>
          <wp:wrapNone/>
          <wp:docPr id="4" name="Picture 4" descr="Logo trasparente senza scritt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trasparente senza scritta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555" cy="1075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4BB0">
      <w:rPr>
        <w:rFonts w:ascii="Arial" w:hAnsi="Arial"/>
        <w:b/>
        <w:color w:val="333333"/>
        <w:sz w:val="32"/>
      </w:rPr>
      <w:t xml:space="preserve"> </w:t>
    </w:r>
    <w:r w:rsidR="00064BB0">
      <w:rPr>
        <w:rFonts w:hAnsi="Times New Roman"/>
        <w:b/>
        <w:color w:val="333333"/>
        <w:sz w:val="32"/>
      </w:rPr>
      <w:t>Unione Italiana dei Ciechi e degli Ipovedenti</w:t>
    </w:r>
  </w:p>
  <w:p w14:paraId="26B1CB83" w14:textId="77777777" w:rsidR="00064BB0" w:rsidRDefault="00064BB0">
    <w:pPr>
      <w:tabs>
        <w:tab w:val="center" w:pos="4819"/>
        <w:tab w:val="right" w:pos="9638"/>
      </w:tabs>
      <w:snapToGrid w:val="0"/>
      <w:jc w:val="center"/>
      <w:rPr>
        <w:rFonts w:hAnsi="Times New Roman"/>
        <w:b/>
        <w:i/>
        <w:color w:val="333333"/>
        <w:sz w:val="28"/>
      </w:rPr>
    </w:pPr>
    <w:r>
      <w:rPr>
        <w:rFonts w:hAnsi="Times New Roman"/>
        <w:b/>
        <w:i/>
        <w:color w:val="333333"/>
        <w:sz w:val="28"/>
      </w:rPr>
      <w:t>ETS-APS</w:t>
    </w:r>
  </w:p>
  <w:p w14:paraId="0DD917E4" w14:textId="77777777" w:rsidR="00064BB0" w:rsidRDefault="00064BB0">
    <w:pPr>
      <w:tabs>
        <w:tab w:val="center" w:pos="4819"/>
        <w:tab w:val="right" w:pos="9638"/>
      </w:tabs>
      <w:snapToGrid w:val="0"/>
      <w:spacing w:line="400" w:lineRule="exact"/>
      <w:jc w:val="center"/>
      <w:rPr>
        <w:rFonts w:ascii="Optima" w:hAnsi="Optima"/>
        <w:color w:val="333333"/>
        <w:sz w:val="28"/>
      </w:rPr>
    </w:pPr>
    <w:r>
      <w:rPr>
        <w:rFonts w:hAnsi="Times New Roman"/>
        <w:color w:val="333333"/>
        <w:sz w:val="28"/>
      </w:rPr>
      <w:t>Presidenza Nazionale</w:t>
    </w:r>
  </w:p>
  <w:p w14:paraId="5C763B40" w14:textId="77777777" w:rsidR="00064BB0" w:rsidRDefault="004E3774">
    <w:pPr>
      <w:tabs>
        <w:tab w:val="center" w:pos="4819"/>
        <w:tab w:val="right" w:pos="9638"/>
      </w:tabs>
      <w:snapToGrid w:val="0"/>
      <w:rPr>
        <w:rFonts w:hAnsi="Times New Roman"/>
        <w:i/>
        <w:color w:val="333333"/>
        <w:sz w:val="26"/>
      </w:rPr>
    </w:pPr>
    <w:r>
      <w:rPr>
        <w:rFonts w:hAnsi="Times New Roman"/>
        <w:i/>
        <w:noProof/>
        <w:color w:val="333333"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AA637D" wp14:editId="5AB76ECD">
              <wp:simplePos x="0" y="0"/>
              <wp:positionH relativeFrom="column">
                <wp:posOffset>0</wp:posOffset>
              </wp:positionH>
              <wp:positionV relativeFrom="paragraph">
                <wp:posOffset>118745</wp:posOffset>
              </wp:positionV>
              <wp:extent cx="6573520" cy="0"/>
              <wp:effectExtent l="9525" t="13970" r="8255" b="5080"/>
              <wp:wrapNone/>
              <wp:docPr id="3" name="Line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3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E64792" id="Lines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9.35pt" to="517.6pt,9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/HU96FgIAACkEAAAOAAAAZHJzL2Uyb0RvYy54bWysU02P2jAQvVfqf7B8hyQQWIgIq4qQXmgX abc/wNgOserYlm0IqOp/79h8iG0vVdUcnLFn5vnNvPHi+dRJdOTWCa1KnA1TjLiimgm1L/G3t3ow w8h5ohiRWvESn7nDz8uPHxa9KfhIt1oybhGAKFf0psSt96ZIEkdb3hE31IYrcDbadsTD1u4TZkkP 6J1MRmk6TXptmbGacufgtLo48TLiNw2n/qVpHPdIlhi4+bjauO7CmiwXpNhbYlpBrzTIP7DoiFBw 6R2qIp6ggxV/QHWCWu1044dUd4luGkF5rAGqydLfqnltieGxFmiOM/c2uf8HS78etxYJVuIxRop0 INFGKO7QKLSmN66AiJXa2lAcPalXs9H0u0NKr1qi9jxSfDsbyMtCRvIuJWycgQt2/RfNIIYcvI59 OjW2C5DQAXSKcpzvcvCTRxQOp5On8WQEqtGbLyHFLdFY5z9z3aFglFgC6QhMjhvnAxFS3ELCPUrX QsqotlSoL/F8MprEBKelYMEZwpzd71bSoiOBeanrFL5YFXgew6w+KBbBWk7Y+mp7IuTFhsulCnhQ CtC5WpeB+DFP5+vZepYP8tF0PcjTqhp8qlf5YFpnT5NqXK1WVfYzUMvyohWMcRXY3YYzy/9O/Osz uYzVfTzvbUjeo8d+AdnbP5KOWgb5LoOw0+y8tTeNYR5j8PXthIF/3IP9+MKXvwAAAP//AwBQSwME FAAGAAgAAAAhAB9SwOPbAAAABwEAAA8AAABkcnMvZG93bnJldi54bWxMj8FOwzAQRO9I/IO1SNyo 3SLSKsSpKtRe4ERbVeLmxksSEq9DvE3D3+OKAz3OzGrmbbYcXSsG7EPtScN0okAgFd7WVGrY7zYP CxCBDVnTekINPxhgmd/eZCa1/kzvOGy5FLGEQmo0VMxdKmUoKnQmTHyHFLNP3zvDUfaltL05x3LX yplSiXSmprhQmQ5fKiya7clp4OSLDzb5fm2m++bwod7UoFZrre/vxtUzCMaR/4/hgh/RIY9MR38i G0SrIT7C0V3MQVxS9fg0A3H8c2SeyWv+/BcAAP//AwBQSwECLQAUAAYACAAAACEAtoM4kv4AAADh AQAAEwAAAAAAAAAAAAAAAAAAAAAAW0NvbnRlbnRfVHlwZXNdLnhtbFBLAQItABQABgAIAAAAIQA4 /SH/1gAAAJQBAAALAAAAAAAAAAAAAAAAAC8BAABfcmVscy8ucmVsc1BLAQItABQABgAIAAAAIQB/ HU96FgIAACkEAAAOAAAAAAAAAAAAAAAAAC4CAABkcnMvZTJvRG9jLnhtbFBLAQItABQABgAIAAAA IQAfUsDj2wAAAAcBAAAPAAAAAAAAAAAAAAAAAHAEAABkcnMvZG93bnJldi54bWxQSwUGAAAAAAQA BADzAAAAeAUAAAAA 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76A40"/>
    <w:multiLevelType w:val="hybridMultilevel"/>
    <w:tmpl w:val="04D4ADA6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34F4C19"/>
    <w:multiLevelType w:val="hybridMultilevel"/>
    <w:tmpl w:val="1F322BDA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D6217A7"/>
    <w:multiLevelType w:val="hybridMultilevel"/>
    <w:tmpl w:val="2C288306"/>
    <w:lvl w:ilvl="0" w:tplc="6D048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1100C"/>
    <w:multiLevelType w:val="hybridMultilevel"/>
    <w:tmpl w:val="A46EBBA4"/>
    <w:lvl w:ilvl="0" w:tplc="6D04898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568E3D3A"/>
    <w:multiLevelType w:val="hybridMultilevel"/>
    <w:tmpl w:val="57FCCD2E"/>
    <w:lvl w:ilvl="0" w:tplc="6D0489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559295">
    <w:abstractNumId w:val="0"/>
  </w:num>
  <w:num w:numId="2" w16cid:durableId="1319000147">
    <w:abstractNumId w:val="3"/>
  </w:num>
  <w:num w:numId="3" w16cid:durableId="976687405">
    <w:abstractNumId w:val="4"/>
  </w:num>
  <w:num w:numId="4" w16cid:durableId="412168485">
    <w:abstractNumId w:val="2"/>
  </w:num>
  <w:num w:numId="5" w16cid:durableId="981081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DF3"/>
    <w:rsid w:val="000075ED"/>
    <w:rsid w:val="00014896"/>
    <w:rsid w:val="0004129B"/>
    <w:rsid w:val="00043C4C"/>
    <w:rsid w:val="000455CC"/>
    <w:rsid w:val="00064BB0"/>
    <w:rsid w:val="00074CFE"/>
    <w:rsid w:val="00077C10"/>
    <w:rsid w:val="000900FB"/>
    <w:rsid w:val="000B176E"/>
    <w:rsid w:val="000D4636"/>
    <w:rsid w:val="000F7D12"/>
    <w:rsid w:val="00107990"/>
    <w:rsid w:val="00110D07"/>
    <w:rsid w:val="00113E66"/>
    <w:rsid w:val="001242F4"/>
    <w:rsid w:val="00135001"/>
    <w:rsid w:val="001940A1"/>
    <w:rsid w:val="00196A03"/>
    <w:rsid w:val="001A7ABA"/>
    <w:rsid w:val="001B7559"/>
    <w:rsid w:val="001F09C1"/>
    <w:rsid w:val="001F1663"/>
    <w:rsid w:val="00203826"/>
    <w:rsid w:val="002114A9"/>
    <w:rsid w:val="00222685"/>
    <w:rsid w:val="002350A4"/>
    <w:rsid w:val="00235D16"/>
    <w:rsid w:val="00263C4F"/>
    <w:rsid w:val="00271DF3"/>
    <w:rsid w:val="002A7058"/>
    <w:rsid w:val="002B0C31"/>
    <w:rsid w:val="002B15FE"/>
    <w:rsid w:val="002B26D4"/>
    <w:rsid w:val="002C3658"/>
    <w:rsid w:val="002E3B42"/>
    <w:rsid w:val="002E727B"/>
    <w:rsid w:val="00304559"/>
    <w:rsid w:val="00316BE4"/>
    <w:rsid w:val="00317C07"/>
    <w:rsid w:val="00333DE3"/>
    <w:rsid w:val="00334769"/>
    <w:rsid w:val="0036032D"/>
    <w:rsid w:val="00385DC5"/>
    <w:rsid w:val="00392DD1"/>
    <w:rsid w:val="00395717"/>
    <w:rsid w:val="003A55B0"/>
    <w:rsid w:val="003A6698"/>
    <w:rsid w:val="003C5889"/>
    <w:rsid w:val="003C7617"/>
    <w:rsid w:val="003D279E"/>
    <w:rsid w:val="003E6EDB"/>
    <w:rsid w:val="003F52A2"/>
    <w:rsid w:val="00402839"/>
    <w:rsid w:val="00421968"/>
    <w:rsid w:val="004238D0"/>
    <w:rsid w:val="00425BFA"/>
    <w:rsid w:val="004957E7"/>
    <w:rsid w:val="00497451"/>
    <w:rsid w:val="004A6319"/>
    <w:rsid w:val="004E3774"/>
    <w:rsid w:val="004F3BCD"/>
    <w:rsid w:val="004F73ED"/>
    <w:rsid w:val="00515240"/>
    <w:rsid w:val="00532F6C"/>
    <w:rsid w:val="00555C56"/>
    <w:rsid w:val="0057103A"/>
    <w:rsid w:val="005A4DB6"/>
    <w:rsid w:val="005D177E"/>
    <w:rsid w:val="005E6320"/>
    <w:rsid w:val="005F7F4B"/>
    <w:rsid w:val="00612672"/>
    <w:rsid w:val="00615DD0"/>
    <w:rsid w:val="00625A44"/>
    <w:rsid w:val="006476D1"/>
    <w:rsid w:val="00665127"/>
    <w:rsid w:val="00676207"/>
    <w:rsid w:val="006967FE"/>
    <w:rsid w:val="006A33EC"/>
    <w:rsid w:val="006D0F4C"/>
    <w:rsid w:val="006D593C"/>
    <w:rsid w:val="006E1ED3"/>
    <w:rsid w:val="006F49AD"/>
    <w:rsid w:val="00705893"/>
    <w:rsid w:val="00705AA2"/>
    <w:rsid w:val="007211DD"/>
    <w:rsid w:val="00733A8A"/>
    <w:rsid w:val="007419EA"/>
    <w:rsid w:val="00743EC5"/>
    <w:rsid w:val="00751E99"/>
    <w:rsid w:val="00766AC8"/>
    <w:rsid w:val="00771E79"/>
    <w:rsid w:val="00775B30"/>
    <w:rsid w:val="00783ED1"/>
    <w:rsid w:val="00791E51"/>
    <w:rsid w:val="007B51E6"/>
    <w:rsid w:val="007E3F31"/>
    <w:rsid w:val="007F1A3D"/>
    <w:rsid w:val="0081440F"/>
    <w:rsid w:val="00817A85"/>
    <w:rsid w:val="008379E0"/>
    <w:rsid w:val="008476B6"/>
    <w:rsid w:val="008506FE"/>
    <w:rsid w:val="00851063"/>
    <w:rsid w:val="008606F4"/>
    <w:rsid w:val="008A68F8"/>
    <w:rsid w:val="008C31EE"/>
    <w:rsid w:val="008C3918"/>
    <w:rsid w:val="008E7A2A"/>
    <w:rsid w:val="008F148D"/>
    <w:rsid w:val="009047AD"/>
    <w:rsid w:val="00917B28"/>
    <w:rsid w:val="009552AF"/>
    <w:rsid w:val="00963292"/>
    <w:rsid w:val="00966468"/>
    <w:rsid w:val="00983B6C"/>
    <w:rsid w:val="009845CF"/>
    <w:rsid w:val="009D288D"/>
    <w:rsid w:val="009E16BC"/>
    <w:rsid w:val="009E35BC"/>
    <w:rsid w:val="00A21A15"/>
    <w:rsid w:val="00A262BD"/>
    <w:rsid w:val="00A472D4"/>
    <w:rsid w:val="00A662DC"/>
    <w:rsid w:val="00A71710"/>
    <w:rsid w:val="00AC3729"/>
    <w:rsid w:val="00AC420C"/>
    <w:rsid w:val="00AD72C2"/>
    <w:rsid w:val="00AE0AA7"/>
    <w:rsid w:val="00AE0D54"/>
    <w:rsid w:val="00AE4182"/>
    <w:rsid w:val="00AF3828"/>
    <w:rsid w:val="00AF4AF7"/>
    <w:rsid w:val="00B17B2C"/>
    <w:rsid w:val="00B21621"/>
    <w:rsid w:val="00B309E4"/>
    <w:rsid w:val="00B33BF1"/>
    <w:rsid w:val="00B425D9"/>
    <w:rsid w:val="00B63B53"/>
    <w:rsid w:val="00B700D3"/>
    <w:rsid w:val="00B72380"/>
    <w:rsid w:val="00B73AF9"/>
    <w:rsid w:val="00B92BEB"/>
    <w:rsid w:val="00BA6E0D"/>
    <w:rsid w:val="00BB05FB"/>
    <w:rsid w:val="00BB6C48"/>
    <w:rsid w:val="00BB6D00"/>
    <w:rsid w:val="00BF418B"/>
    <w:rsid w:val="00C04DEF"/>
    <w:rsid w:val="00C22189"/>
    <w:rsid w:val="00C31722"/>
    <w:rsid w:val="00C3458F"/>
    <w:rsid w:val="00C442B8"/>
    <w:rsid w:val="00C5350A"/>
    <w:rsid w:val="00C67602"/>
    <w:rsid w:val="00C82A7D"/>
    <w:rsid w:val="00CA01B5"/>
    <w:rsid w:val="00CD48E9"/>
    <w:rsid w:val="00CD57DD"/>
    <w:rsid w:val="00CF5365"/>
    <w:rsid w:val="00D00645"/>
    <w:rsid w:val="00D13BCF"/>
    <w:rsid w:val="00D27DD5"/>
    <w:rsid w:val="00D33857"/>
    <w:rsid w:val="00D35A3C"/>
    <w:rsid w:val="00D40A01"/>
    <w:rsid w:val="00D46697"/>
    <w:rsid w:val="00D52775"/>
    <w:rsid w:val="00D63C1B"/>
    <w:rsid w:val="00D6516F"/>
    <w:rsid w:val="00D65A8C"/>
    <w:rsid w:val="00D819E6"/>
    <w:rsid w:val="00D84131"/>
    <w:rsid w:val="00DC198E"/>
    <w:rsid w:val="00DD5679"/>
    <w:rsid w:val="00DE40AE"/>
    <w:rsid w:val="00DE58BE"/>
    <w:rsid w:val="00DF2C46"/>
    <w:rsid w:val="00DF7A69"/>
    <w:rsid w:val="00E03EAC"/>
    <w:rsid w:val="00E046C6"/>
    <w:rsid w:val="00E07B51"/>
    <w:rsid w:val="00E2543E"/>
    <w:rsid w:val="00E3091A"/>
    <w:rsid w:val="00E51231"/>
    <w:rsid w:val="00E5242D"/>
    <w:rsid w:val="00E609C3"/>
    <w:rsid w:val="00E8765B"/>
    <w:rsid w:val="00EA163F"/>
    <w:rsid w:val="00EB121A"/>
    <w:rsid w:val="00EB2A5C"/>
    <w:rsid w:val="00ED2DAF"/>
    <w:rsid w:val="00ED6665"/>
    <w:rsid w:val="00ED6BFF"/>
    <w:rsid w:val="00EE6D6E"/>
    <w:rsid w:val="00F10441"/>
    <w:rsid w:val="00F15E10"/>
    <w:rsid w:val="00F3296C"/>
    <w:rsid w:val="00F5217C"/>
    <w:rsid w:val="00F62FAA"/>
    <w:rsid w:val="00FA0ECF"/>
    <w:rsid w:val="00FB59F7"/>
    <w:rsid w:val="00FC69F4"/>
    <w:rsid w:val="00FD4DD5"/>
    <w:rsid w:val="00FE4255"/>
    <w:rsid w:val="00FF462B"/>
    <w:rsid w:val="00FF5232"/>
    <w:rsid w:val="0ECF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E78835B"/>
  <w15:chartTrackingRefBased/>
  <w15:docId w15:val="{CBF8EC62-C6D5-4B90-B8D4-7C5CBAA90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anumGothic" w:eastAsia="Times New Roman" w:hAnsi="NanumGothic" w:cs="NanumGothic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/>
      <w:sz w:val="24"/>
    </w:rPr>
  </w:style>
  <w:style w:type="paragraph" w:styleId="Titolo1">
    <w:name w:val="heading 1"/>
    <w:basedOn w:val="Normale"/>
    <w:next w:val="Normale"/>
    <w:qFormat/>
    <w:pPr>
      <w:jc w:val="center"/>
      <w:outlineLvl w:val="0"/>
    </w:pPr>
  </w:style>
  <w:style w:type="paragraph" w:styleId="Titolo2">
    <w:name w:val="heading 2"/>
    <w:basedOn w:val="Normale"/>
    <w:next w:val="Normale"/>
    <w:qFormat/>
    <w:pPr>
      <w:outlineLvl w:val="1"/>
    </w:pPr>
    <w:rPr>
      <w:rFonts w:ascii="Arial"/>
      <w:b/>
      <w:sz w:val="12"/>
    </w:rPr>
  </w:style>
  <w:style w:type="paragraph" w:styleId="Titolo3">
    <w:name w:val="heading 3"/>
    <w:basedOn w:val="Normale"/>
    <w:next w:val="Normale"/>
    <w:qFormat/>
    <w:pPr>
      <w:outlineLvl w:val="2"/>
    </w:pPr>
    <w:rPr>
      <w:i/>
    </w:rPr>
  </w:style>
  <w:style w:type="paragraph" w:styleId="Titolo4">
    <w:name w:val="heading 4"/>
    <w:basedOn w:val="Normale"/>
    <w:next w:val="Normale"/>
    <w:qFormat/>
    <w:pPr>
      <w:jc w:val="center"/>
      <w:outlineLvl w:val="3"/>
    </w:pPr>
    <w:rPr>
      <w:rFonts w:ascii="Arial"/>
      <w:b/>
      <w:sz w:val="12"/>
    </w:rPr>
  </w:style>
  <w:style w:type="paragraph" w:styleId="Titolo5">
    <w:name w:val="heading 5"/>
    <w:basedOn w:val="Normale"/>
    <w:next w:val="Normale"/>
    <w:qFormat/>
    <w:pPr>
      <w:spacing w:before="240" w:after="60"/>
      <w:outlineLvl w:val="4"/>
    </w:pPr>
    <w:rPr>
      <w:rFonts w:ascii="Calibri"/>
      <w:b/>
      <w:i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next w:val="Corpodeltesto2"/>
    <w:semiHidden/>
    <w:rPr>
      <w:rFonts w:ascii="Tahoma"/>
      <w:sz w:val="16"/>
    </w:rPr>
  </w:style>
  <w:style w:type="paragraph" w:styleId="Corpodeltesto2">
    <w:name w:val="Body Text 2"/>
    <w:basedOn w:val="Normale"/>
    <w:next w:val="Rientrocorpodeltesto"/>
    <w:semiHidden/>
    <w:rPr>
      <w:rFonts w:ascii="Arial"/>
      <w:color w:val="333333"/>
      <w:sz w:val="14"/>
    </w:rPr>
  </w:style>
  <w:style w:type="paragraph" w:styleId="Rientrocorpodeltesto">
    <w:name w:val="Body Text Indent"/>
    <w:basedOn w:val="Normale"/>
    <w:next w:val="Pidipagina"/>
    <w:semiHidden/>
    <w:pPr>
      <w:jc w:val="both"/>
    </w:pPr>
  </w:style>
  <w:style w:type="paragraph" w:styleId="Pidipagina">
    <w:name w:val="footer"/>
    <w:basedOn w:val="Normale"/>
    <w:next w:val="Intestazione"/>
    <w:semiHidden/>
  </w:style>
  <w:style w:type="paragraph" w:styleId="Intestazione">
    <w:name w:val="header"/>
    <w:basedOn w:val="Normale"/>
    <w:semiHidden/>
  </w:style>
  <w:style w:type="paragraph" w:styleId="Corpotesto">
    <w:name w:val="Body Text"/>
    <w:basedOn w:val="Normale"/>
    <w:semiHidden/>
    <w:pPr>
      <w:jc w:val="both"/>
    </w:pPr>
  </w:style>
  <w:style w:type="paragraph" w:styleId="Rientrocorpodeltesto2">
    <w:name w:val="Body Text Indent 2"/>
    <w:basedOn w:val="Normale"/>
    <w:semiHidden/>
    <w:pPr>
      <w:spacing w:after="120" w:line="480" w:lineRule="auto"/>
    </w:pPr>
  </w:style>
  <w:style w:type="paragraph" w:styleId="Didascalia">
    <w:name w:val="caption"/>
    <w:basedOn w:val="Normale"/>
    <w:next w:val="Normale"/>
    <w:qFormat/>
  </w:style>
  <w:style w:type="character" w:styleId="Enfasicorsivo">
    <w:name w:val="Emphasis"/>
    <w:qFormat/>
    <w:rPr>
      <w:i/>
      <w:sz w:val="20"/>
    </w:rPr>
  </w:style>
  <w:style w:type="character" w:styleId="Collegamentoipertestuale">
    <w:name w:val="Hyperlink"/>
    <w:uiPriority w:val="99"/>
    <w:rPr>
      <w:color w:val="0000FF"/>
      <w:sz w:val="20"/>
      <w:u w:val="single"/>
    </w:rPr>
  </w:style>
  <w:style w:type="paragraph" w:styleId="NormaleWeb">
    <w:name w:val="Normal (Web)"/>
    <w:basedOn w:val="Normale"/>
    <w:pPr>
      <w:spacing w:before="100" w:after="100"/>
    </w:pPr>
    <w:rPr>
      <w:rFonts w:eastAsia="Calibri"/>
    </w:rPr>
  </w:style>
  <w:style w:type="character" w:styleId="Numeropagina">
    <w:name w:val="page number"/>
    <w:semiHidden/>
    <w:rPr>
      <w:sz w:val="20"/>
    </w:rPr>
  </w:style>
  <w:style w:type="character" w:styleId="Enfasigrassetto">
    <w:name w:val="Strong"/>
    <w:qFormat/>
    <w:rPr>
      <w:b/>
      <w:sz w:val="20"/>
    </w:r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TestofumettoCarattere">
    <w:name w:val="Testo fumetto Carattere"/>
    <w:semiHidden/>
    <w:rPr>
      <w:sz w:val="20"/>
    </w:rPr>
  </w:style>
  <w:style w:type="character" w:customStyle="1" w:styleId="Titolo5Carattere">
    <w:name w:val="Titolo 5 Carattere"/>
    <w:semiHidden/>
    <w:rPr>
      <w:b/>
      <w:i/>
      <w:sz w:val="20"/>
    </w:rPr>
  </w:style>
  <w:style w:type="character" w:customStyle="1" w:styleId="IntestazioneCarattere">
    <w:name w:val="Intestazione Carattere"/>
    <w:semiHidden/>
    <w:rPr>
      <w:sz w:val="20"/>
    </w:rPr>
  </w:style>
  <w:style w:type="character" w:customStyle="1" w:styleId="RientrocorpodeltestoCarattere">
    <w:name w:val="Rientro corpo del testo Carattere"/>
    <w:semiHidden/>
    <w:rPr>
      <w:sz w:val="20"/>
    </w:rPr>
  </w:style>
  <w:style w:type="character" w:customStyle="1" w:styleId="Rientrocorpodeltesto2Carattere">
    <w:name w:val="Rientro corpo del testo 2 Carattere"/>
    <w:semiHidden/>
    <w:rPr>
      <w:sz w:val="20"/>
    </w:rPr>
  </w:style>
  <w:style w:type="paragraph" w:customStyle="1" w:styleId="Default">
    <w:name w:val="Default"/>
    <w:pPr>
      <w:autoSpaceDE w:val="0"/>
    </w:pPr>
    <w:rPr>
      <w:rFonts w:ascii="Verdana"/>
      <w:color w:val="000000"/>
      <w:sz w:val="24"/>
    </w:rPr>
  </w:style>
  <w:style w:type="character" w:styleId="Menzionenonrisolta">
    <w:name w:val="Unresolved Mention"/>
    <w:uiPriority w:val="99"/>
    <w:unhideWhenUsed/>
    <w:rPr>
      <w:color w:val="605E5C"/>
      <w:sz w:val="20"/>
      <w:shd w:val="clear" w:color="auto" w:fill="E1DFDD"/>
    </w:rPr>
  </w:style>
  <w:style w:type="paragraph" w:styleId="Paragrafoelenco">
    <w:name w:val="List Paragraph"/>
    <w:basedOn w:val="Normale"/>
    <w:uiPriority w:val="99"/>
    <w:qFormat/>
    <w:rsid w:val="006F4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7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iciechi.it/documentazione/circolari/main_circ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1494</Words>
  <Characters>8522</Characters>
  <Application>Microsoft Office Word</Application>
  <DocSecurity>0</DocSecurity>
  <Lines>71</Lines>
  <Paragraphs>19</Paragraphs>
  <Notes>0</Note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AMM CSL/fs</vt:lpstr>
    </vt:vector>
  </TitlesOfParts>
  <Company>UICSC</Company>
  <LinksUpToDate>false</LinksUpToDate>
  <CharactersWithSpaces>9997</CharactersWithSpaces>
  <SharedDoc>false</SharedDoc>
  <HLinks>
    <vt:vector size="6" baseType="variant">
      <vt:variant>
        <vt:i4>6225953</vt:i4>
      </vt:variant>
      <vt:variant>
        <vt:i4>0</vt:i4>
      </vt:variant>
      <vt:variant>
        <vt:i4>0</vt:i4>
      </vt:variant>
      <vt:variant>
        <vt:i4>5</vt:i4>
      </vt:variant>
      <vt:variant>
        <vt:lpwstr>http://www.uiciechi.it/documentazione/circolari/main_circ.asp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AMM CSL/fs</dc:title>
  <dc:subject/>
  <dc:creator>Anna Mandanici</dc:creator>
  <cp:keywords/>
  <cp:lastModifiedBy>Uici Brindisi</cp:lastModifiedBy>
  <cp:revision>3</cp:revision>
  <cp:lastPrinted>2026-05-06T06:33:00Z</cp:lastPrinted>
  <dcterms:created xsi:type="dcterms:W3CDTF">2026-05-06T06:33:00Z</dcterms:created>
  <dcterms:modified xsi:type="dcterms:W3CDTF">2026-05-06T06:33:00Z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5D1A1C5F5470400291DC0B1C548BD3D1_13</vt:lpwstr>
  </property>
</Properties>
</file>